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B5D3" w14:textId="743879D4" w:rsidR="0023427F" w:rsidRDefault="0043633F" w:rsidP="00462C29">
      <w:pPr>
        <w:jc w:val="center"/>
        <w:rPr>
          <w:rFonts w:ascii="Arial Narrow" w:hAnsi="Arial Narrow"/>
          <w:b/>
          <w:bCs/>
          <w:color w:val="000000" w:themeColor="text1"/>
          <w:sz w:val="36"/>
          <w:szCs w:val="36"/>
          <w:lang w:val="en-US"/>
        </w:rPr>
      </w:pPr>
      <w:bookmarkStart w:id="0" w:name="OLE_LINK1"/>
      <w:bookmarkStart w:id="1" w:name="OLE_LINK2"/>
      <w:bookmarkStart w:id="2" w:name="OLE_LINK3"/>
      <w:r w:rsidRPr="009151EF">
        <w:rPr>
          <w:rFonts w:ascii="Arial Narrow" w:hAnsi="Arial Narrow"/>
          <w:b/>
          <w:bCs/>
          <w:color w:val="000000" w:themeColor="text1"/>
          <w:sz w:val="36"/>
          <w:szCs w:val="36"/>
          <w:lang w:val="en-US"/>
        </w:rPr>
        <w:t>KEY INVESTMENT INSIGHT #</w:t>
      </w:r>
      <w:bookmarkEnd w:id="0"/>
      <w:bookmarkEnd w:id="1"/>
      <w:bookmarkEnd w:id="2"/>
      <w:r w:rsidR="00E24826">
        <w:rPr>
          <w:rFonts w:ascii="Arial Narrow" w:hAnsi="Arial Narrow"/>
          <w:b/>
          <w:bCs/>
          <w:color w:val="000000" w:themeColor="text1"/>
          <w:sz w:val="36"/>
          <w:szCs w:val="36"/>
          <w:lang w:val="en-US"/>
        </w:rPr>
        <w:t>1</w:t>
      </w:r>
      <w:r w:rsidR="00462C29">
        <w:rPr>
          <w:rFonts w:ascii="Arial Narrow" w:hAnsi="Arial Narrow"/>
          <w:b/>
          <w:bCs/>
          <w:color w:val="000000" w:themeColor="text1"/>
          <w:sz w:val="36"/>
          <w:szCs w:val="36"/>
          <w:lang w:val="en-US"/>
        </w:rPr>
        <w:t>1</w:t>
      </w:r>
    </w:p>
    <w:p w14:paraId="0BD4805A" w14:textId="345E052E" w:rsidR="00462C29" w:rsidRPr="005C0C6C" w:rsidRDefault="00462C29" w:rsidP="00462C29">
      <w:pPr>
        <w:jc w:val="center"/>
        <w:rPr>
          <w:rFonts w:ascii="Arial Narrow" w:hAnsi="Arial Narrow"/>
          <w:i/>
          <w:iCs/>
          <w:u w:val="single"/>
          <w:lang w:val="en-US"/>
        </w:rPr>
      </w:pPr>
      <w:r>
        <w:rPr>
          <w:rFonts w:ascii="Arial Narrow" w:hAnsi="Arial Narrow"/>
          <w:b/>
          <w:bCs/>
          <w:color w:val="000000" w:themeColor="text1"/>
          <w:sz w:val="36"/>
          <w:szCs w:val="36"/>
          <w:lang w:val="en-US"/>
        </w:rPr>
        <w:t>ANALYSIS OF RETURN ON EQUITY</w:t>
      </w:r>
    </w:p>
    <w:p w14:paraId="5A6A6730" w14:textId="77777777" w:rsidR="0023427F" w:rsidRPr="005C0C6C" w:rsidRDefault="0023427F" w:rsidP="0023427F">
      <w:pPr>
        <w:rPr>
          <w:rFonts w:ascii="Arial Narrow" w:hAnsi="Arial Narrow"/>
          <w:i/>
          <w:iCs/>
          <w:u w:val="single"/>
          <w:lang w:val="en-US"/>
        </w:rPr>
      </w:pPr>
    </w:p>
    <w:p w14:paraId="0558DB0A" w14:textId="4EFD0E3A" w:rsidR="00677689" w:rsidRDefault="00677689" w:rsidP="00677689">
      <w:pPr>
        <w:rPr>
          <w:rFonts w:ascii="Arial Narrow" w:hAnsi="Arial Narrow"/>
          <w:lang w:val="en-US"/>
        </w:rPr>
      </w:pPr>
    </w:p>
    <w:p w14:paraId="5214D13C" w14:textId="77777777" w:rsidR="00A775E1" w:rsidRDefault="00A775E1" w:rsidP="00677689">
      <w:pPr>
        <w:rPr>
          <w:rFonts w:ascii="Arial Narrow" w:hAnsi="Arial Narrow"/>
          <w:lang w:val="en-US"/>
        </w:rPr>
      </w:pPr>
    </w:p>
    <w:p w14:paraId="70474B83" w14:textId="0C7E4658" w:rsidR="00A775E1" w:rsidRDefault="00A775E1" w:rsidP="00677689">
      <w:pPr>
        <w:rPr>
          <w:rFonts w:ascii="Arial Narrow" w:hAnsi="Arial Narrow"/>
          <w:lang w:val="en-US"/>
        </w:rPr>
      </w:pPr>
      <w:r>
        <w:rPr>
          <w:rFonts w:ascii="Arial Narrow" w:hAnsi="Arial Narrow"/>
          <w:noProof/>
          <w:lang w:val="en-US"/>
        </w:rPr>
        <w:drawing>
          <wp:inline distT="0" distB="0" distL="0" distR="0" wp14:anchorId="635D60E1" wp14:editId="5105D825">
            <wp:extent cx="5756910" cy="3839210"/>
            <wp:effectExtent l="0" t="0" r="0" b="0"/>
            <wp:docPr id="34469803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98036" name="Image 344698036"/>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6910" cy="3839210"/>
                    </a:xfrm>
                    <a:prstGeom prst="rect">
                      <a:avLst/>
                    </a:prstGeom>
                  </pic:spPr>
                </pic:pic>
              </a:graphicData>
            </a:graphic>
          </wp:inline>
        </w:drawing>
      </w:r>
    </w:p>
    <w:p w14:paraId="7255EA45" w14:textId="77777777" w:rsidR="00A775E1" w:rsidRDefault="00A775E1" w:rsidP="00677689">
      <w:pPr>
        <w:rPr>
          <w:rFonts w:ascii="Arial Narrow" w:hAnsi="Arial Narrow"/>
          <w:lang w:val="en-US"/>
        </w:rPr>
      </w:pPr>
    </w:p>
    <w:p w14:paraId="2E572FFE" w14:textId="77777777" w:rsidR="00A775E1" w:rsidRDefault="00A775E1" w:rsidP="00677689">
      <w:pPr>
        <w:rPr>
          <w:rFonts w:ascii="Arial Narrow" w:hAnsi="Arial Narrow"/>
          <w:lang w:val="en-US"/>
        </w:rPr>
      </w:pPr>
    </w:p>
    <w:p w14:paraId="065C4C59" w14:textId="05A7315B" w:rsidR="00887675" w:rsidRPr="00887675" w:rsidRDefault="00887675" w:rsidP="00887675">
      <w:pPr>
        <w:rPr>
          <w:rFonts w:ascii="Arial Narrow" w:hAnsi="Arial Narrow"/>
          <w:lang w:val="en-US"/>
        </w:rPr>
      </w:pPr>
      <w:r w:rsidRPr="00887675">
        <w:rPr>
          <w:rFonts w:ascii="Arial Narrow" w:hAnsi="Arial Narrow"/>
          <w:lang w:val="en-US"/>
        </w:rPr>
        <w:t>Let’s say you’re browsing through some stocks, trying to figure out which one is worth your hard-earned cash. You’ve read up on the companies, checked their growth stories, and even considered their future prospects. But how do you know if they’re really using their money efficiently? That’s where Return on Equity (ROE) comes into play—a key financial metric that helps you see if a company is making smart decisions with its shareholders' money. Think of ROE as a window into a company’s ability to turn investment into profit.</w:t>
      </w:r>
    </w:p>
    <w:p w14:paraId="1DE9B35F" w14:textId="77777777" w:rsidR="00887675" w:rsidRPr="00887675" w:rsidRDefault="00887675" w:rsidP="00887675">
      <w:pPr>
        <w:rPr>
          <w:rFonts w:ascii="Arial Narrow" w:hAnsi="Arial Narrow"/>
          <w:lang w:val="en-US"/>
        </w:rPr>
      </w:pPr>
    </w:p>
    <w:p w14:paraId="29931077" w14:textId="77777777" w:rsidR="00887675" w:rsidRPr="00887675" w:rsidRDefault="00887675" w:rsidP="00887675">
      <w:pPr>
        <w:rPr>
          <w:rFonts w:ascii="Arial Narrow" w:hAnsi="Arial Narrow"/>
          <w:lang w:val="en-US"/>
        </w:rPr>
      </w:pPr>
      <w:r w:rsidRPr="00887675">
        <w:rPr>
          <w:rFonts w:ascii="Arial Narrow" w:hAnsi="Arial Narrow"/>
          <w:lang w:val="en-US"/>
        </w:rPr>
        <w:t>Curious? Let’s break it down and see why this one ratio can give you major insights into whether a stock deserves a spot in your portfolio.</w:t>
      </w:r>
    </w:p>
    <w:p w14:paraId="09EB6D9D" w14:textId="77777777" w:rsidR="00887675" w:rsidRPr="00887675" w:rsidRDefault="00887675" w:rsidP="00887675">
      <w:pPr>
        <w:rPr>
          <w:rFonts w:ascii="Arial Narrow" w:hAnsi="Arial Narrow"/>
          <w:b/>
          <w:bCs/>
          <w:lang w:val="en-US"/>
        </w:rPr>
      </w:pPr>
    </w:p>
    <w:p w14:paraId="1DCE1277" w14:textId="77777777" w:rsidR="00887675" w:rsidRDefault="00887675" w:rsidP="00887675">
      <w:pPr>
        <w:rPr>
          <w:rFonts w:ascii="Arial Narrow" w:hAnsi="Arial Narrow"/>
          <w:b/>
          <w:bCs/>
          <w:lang w:val="en-US"/>
        </w:rPr>
      </w:pPr>
    </w:p>
    <w:p w14:paraId="27D8E558" w14:textId="6868F6B9" w:rsidR="00887675" w:rsidRPr="00887675" w:rsidRDefault="00887675" w:rsidP="00887675">
      <w:pPr>
        <w:rPr>
          <w:rFonts w:ascii="Arial Narrow" w:hAnsi="Arial Narrow"/>
          <w:b/>
          <w:bCs/>
          <w:lang w:val="en-US"/>
        </w:rPr>
      </w:pPr>
      <w:r w:rsidRPr="00887675">
        <w:rPr>
          <w:rFonts w:ascii="Arial Narrow" w:hAnsi="Arial Narrow"/>
          <w:b/>
          <w:bCs/>
          <w:lang w:val="en-US"/>
        </w:rPr>
        <w:t>WHAT’S ROE AND WHY SHOULD YOU CARE?</w:t>
      </w:r>
    </w:p>
    <w:p w14:paraId="72A61462" w14:textId="77777777" w:rsidR="00887675" w:rsidRPr="00887675" w:rsidRDefault="00887675" w:rsidP="00887675">
      <w:pPr>
        <w:rPr>
          <w:rFonts w:ascii="Arial Narrow" w:hAnsi="Arial Narrow"/>
          <w:lang w:val="en-US"/>
        </w:rPr>
      </w:pPr>
    </w:p>
    <w:p w14:paraId="46E33B7B" w14:textId="4A7B2E25" w:rsidR="00887675" w:rsidRPr="00887675" w:rsidRDefault="00887675" w:rsidP="00887675">
      <w:pPr>
        <w:rPr>
          <w:rFonts w:ascii="Arial Narrow" w:hAnsi="Arial Narrow"/>
          <w:lang w:val="en-US"/>
        </w:rPr>
      </w:pPr>
      <w:r w:rsidRPr="00887675">
        <w:rPr>
          <w:rFonts w:ascii="Arial Narrow" w:hAnsi="Arial Narrow"/>
          <w:lang w:val="en-US"/>
        </w:rPr>
        <w:t>Think of ROE as the "bang for your buck" indicator. It measures how effectively a company is using its shareholders’ money to generate profits. Here’s how it works in simple terms:</w:t>
      </w:r>
    </w:p>
    <w:p w14:paraId="166DC7B6" w14:textId="77777777" w:rsidR="00887675" w:rsidRPr="00887675" w:rsidRDefault="00887675" w:rsidP="00887675">
      <w:pPr>
        <w:rPr>
          <w:rFonts w:ascii="Arial Narrow" w:hAnsi="Arial Narrow"/>
          <w:lang w:val="en-US"/>
        </w:rPr>
      </w:pPr>
    </w:p>
    <w:p w14:paraId="7BC6F5B1" w14:textId="3A052C57" w:rsidR="00887675" w:rsidRPr="00887675" w:rsidRDefault="00887675" w:rsidP="00887675">
      <w:pPr>
        <w:rPr>
          <w:rFonts w:ascii="Arial Narrow" w:hAnsi="Arial Narrow"/>
          <w:lang w:val="en-US"/>
        </w:rPr>
      </w:pPr>
      <w:r w:rsidRPr="00887675">
        <w:rPr>
          <w:rFonts w:ascii="Arial Narrow" w:hAnsi="Arial Narrow" w:cs="Cambria Math"/>
          <w:lang w:val="en-US"/>
        </w:rPr>
        <w:t xml:space="preserve">ROE = </w:t>
      </w:r>
      <w:r w:rsidRPr="00887675">
        <w:rPr>
          <w:rFonts w:ascii="Arial Narrow" w:hAnsi="Arial Narrow"/>
          <w:lang w:val="en-US"/>
        </w:rPr>
        <w:t>Net Income / Shareholders’ Equity</w:t>
      </w:r>
    </w:p>
    <w:p w14:paraId="09BADC21" w14:textId="77777777" w:rsidR="00887675" w:rsidRPr="00887675" w:rsidRDefault="00887675" w:rsidP="00887675">
      <w:pPr>
        <w:rPr>
          <w:rFonts w:ascii="Arial Narrow" w:hAnsi="Arial Narrow"/>
          <w:lang w:val="en-US"/>
        </w:rPr>
      </w:pPr>
      <w:r w:rsidRPr="00887675">
        <w:rPr>
          <w:rFonts w:ascii="Arial" w:hAnsi="Arial" w:cs="Arial"/>
          <w:lang w:val="en-US"/>
        </w:rPr>
        <w:t>​</w:t>
      </w:r>
    </w:p>
    <w:p w14:paraId="49C6C3CF" w14:textId="7382E822" w:rsidR="00887675" w:rsidRPr="00887675" w:rsidRDefault="00887675" w:rsidP="00887675">
      <w:pPr>
        <w:rPr>
          <w:rFonts w:ascii="Arial Narrow" w:hAnsi="Arial Narrow"/>
          <w:lang w:val="en-US"/>
        </w:rPr>
      </w:pPr>
      <w:r w:rsidRPr="00887675">
        <w:rPr>
          <w:rFonts w:ascii="Arial Narrow" w:hAnsi="Arial Narrow"/>
          <w:lang w:val="en-US"/>
        </w:rPr>
        <w:t xml:space="preserve"> </w:t>
      </w:r>
    </w:p>
    <w:p w14:paraId="79F57776" w14:textId="0E8322B4" w:rsidR="00887675" w:rsidRPr="00887675" w:rsidRDefault="00887675" w:rsidP="00887675">
      <w:pPr>
        <w:rPr>
          <w:rFonts w:ascii="Arial Narrow" w:hAnsi="Arial Narrow"/>
          <w:lang w:val="en-US"/>
        </w:rPr>
      </w:pPr>
      <w:r w:rsidRPr="00887675">
        <w:rPr>
          <w:rFonts w:ascii="Arial Narrow" w:hAnsi="Arial Narrow"/>
          <w:lang w:val="en-US"/>
        </w:rPr>
        <w:lastRenderedPageBreak/>
        <w:t>So, what does that mean? Net income is the company’s profit after expenses, and shareholders' equity is the total value that’s been invested in the company by its owners. The higher the ROE, the better the company is at turning every dollar invested into actual profit.</w:t>
      </w:r>
      <w:r>
        <w:rPr>
          <w:rFonts w:ascii="Arial Narrow" w:hAnsi="Arial Narrow"/>
          <w:lang w:val="en-US"/>
        </w:rPr>
        <w:t xml:space="preserve"> </w:t>
      </w:r>
      <w:r w:rsidRPr="00887675">
        <w:rPr>
          <w:rFonts w:ascii="Arial Narrow" w:hAnsi="Arial Narrow"/>
          <w:lang w:val="en-US"/>
        </w:rPr>
        <w:t>Now, why should you care? Because ROE gives you a peek behind the curtain. It helps you see whether a company is growing efficiently or just spinning its wheels. And while it’s a great standalone metric, it’s even more powerful when you compare it to other companies in the same industry.</w:t>
      </w:r>
    </w:p>
    <w:p w14:paraId="58F4DEAE" w14:textId="77777777" w:rsidR="00887675" w:rsidRPr="00887675" w:rsidRDefault="00887675" w:rsidP="00887675">
      <w:pPr>
        <w:rPr>
          <w:rFonts w:ascii="Arial Narrow" w:hAnsi="Arial Narrow"/>
          <w:lang w:val="en-US"/>
        </w:rPr>
      </w:pPr>
    </w:p>
    <w:p w14:paraId="7B6FF1BC" w14:textId="77777777" w:rsidR="00887675" w:rsidRDefault="00887675" w:rsidP="00887675">
      <w:pPr>
        <w:rPr>
          <w:rFonts w:ascii="Arial Narrow" w:hAnsi="Arial Narrow"/>
          <w:lang w:val="en-US"/>
        </w:rPr>
      </w:pPr>
    </w:p>
    <w:p w14:paraId="450F99F2" w14:textId="306A5C9E" w:rsidR="00887675" w:rsidRPr="00887675" w:rsidRDefault="00887675" w:rsidP="00887675">
      <w:pPr>
        <w:rPr>
          <w:rFonts w:ascii="Arial Narrow" w:hAnsi="Arial Narrow"/>
          <w:b/>
          <w:bCs/>
          <w:lang w:val="en-US"/>
        </w:rPr>
      </w:pPr>
      <w:r w:rsidRPr="00887675">
        <w:rPr>
          <w:rFonts w:ascii="Arial Narrow" w:hAnsi="Arial Narrow"/>
          <w:b/>
          <w:bCs/>
          <w:lang w:val="en-US"/>
        </w:rPr>
        <w:t>HOW TO CALCULATE ROE WITHOUT LOSING YOUR MIND</w:t>
      </w:r>
    </w:p>
    <w:p w14:paraId="57CEB7B4" w14:textId="77777777" w:rsidR="00887675" w:rsidRDefault="00887675" w:rsidP="00887675">
      <w:pPr>
        <w:rPr>
          <w:rFonts w:ascii="Arial Narrow" w:hAnsi="Arial Narrow"/>
          <w:lang w:val="en-US"/>
        </w:rPr>
      </w:pPr>
    </w:p>
    <w:p w14:paraId="02919F80" w14:textId="009E667F" w:rsidR="00887675" w:rsidRPr="00887675" w:rsidRDefault="00887675" w:rsidP="00887675">
      <w:pPr>
        <w:rPr>
          <w:rFonts w:ascii="Arial Narrow" w:hAnsi="Arial Narrow"/>
          <w:lang w:val="en-US"/>
        </w:rPr>
      </w:pPr>
      <w:r>
        <w:rPr>
          <w:rFonts w:ascii="Arial Narrow" w:hAnsi="Arial Narrow"/>
          <w:lang w:val="en-US"/>
        </w:rPr>
        <w:t xml:space="preserve">Calculating </w:t>
      </w:r>
      <w:r w:rsidRPr="00887675">
        <w:rPr>
          <w:rFonts w:ascii="Arial Narrow" w:hAnsi="Arial Narrow"/>
          <w:lang w:val="en-US"/>
        </w:rPr>
        <w:t>ROE is actually as simple as it gets in the world of finance. You take the company’s net income (found on its income statement) and divide it by the shareholders' equity (found on its balance sheet). Here’s a quick example to bring it home:</w:t>
      </w:r>
    </w:p>
    <w:p w14:paraId="27A0A906" w14:textId="77777777" w:rsidR="00887675" w:rsidRPr="00887675" w:rsidRDefault="00887675" w:rsidP="00887675">
      <w:pPr>
        <w:rPr>
          <w:rFonts w:ascii="Arial Narrow" w:hAnsi="Arial Narrow"/>
          <w:lang w:val="en-US"/>
        </w:rPr>
      </w:pPr>
    </w:p>
    <w:p w14:paraId="59811582" w14:textId="77777777" w:rsidR="00887675" w:rsidRDefault="00887675" w:rsidP="00887675">
      <w:pPr>
        <w:rPr>
          <w:rFonts w:ascii="Arial Narrow" w:hAnsi="Arial Narrow"/>
          <w:lang w:val="en-US"/>
        </w:rPr>
      </w:pPr>
      <w:r w:rsidRPr="00887675">
        <w:rPr>
          <w:rFonts w:ascii="Arial Narrow" w:hAnsi="Arial Narrow"/>
          <w:lang w:val="en-US"/>
        </w:rPr>
        <w:t>Let’s say Company XYZ reports a net income of $5 million, and its shareholders' equity totals $25 million. The ROE would be:</w:t>
      </w:r>
    </w:p>
    <w:p w14:paraId="75514AF4" w14:textId="3369A8AF" w:rsidR="00887675" w:rsidRPr="00887675" w:rsidRDefault="00000000" w:rsidP="00887675">
      <w:pPr>
        <w:rPr>
          <w:rFonts w:ascii="Arial Narrow" w:hAnsi="Arial Narrow"/>
          <w:lang w:val="en-US"/>
        </w:rPr>
      </w:pPr>
      <m:oMathPara>
        <m:oMath>
          <m:f>
            <m:fPr>
              <m:ctrlPr>
                <w:rPr>
                  <w:rFonts w:ascii="Cambria Math" w:hAnsi="Cambria Math"/>
                  <w:i/>
                  <w:lang w:val="en-US"/>
                </w:rPr>
              </m:ctrlPr>
            </m:fPr>
            <m:num>
              <m:r>
                <w:rPr>
                  <w:rFonts w:ascii="Cambria Math" w:hAnsi="Cambria Math"/>
                  <w:lang w:val="en-US"/>
                </w:rPr>
                <m:t>5,000,000</m:t>
              </m:r>
            </m:num>
            <m:den>
              <m:r>
                <w:rPr>
                  <w:rFonts w:ascii="Cambria Math" w:hAnsi="Cambria Math"/>
                  <w:lang w:val="en-US"/>
                </w:rPr>
                <m:t>25,000,000</m:t>
              </m:r>
            </m:den>
          </m:f>
          <m:r>
            <w:rPr>
              <w:rFonts w:ascii="Cambria Math" w:hAnsi="Cambria Math"/>
              <w:lang w:val="en-US"/>
            </w:rPr>
            <m:t>=20%</m:t>
          </m:r>
        </m:oMath>
      </m:oMathPara>
    </w:p>
    <w:p w14:paraId="48231443" w14:textId="77777777" w:rsidR="00887675" w:rsidRPr="00887675" w:rsidRDefault="00887675" w:rsidP="00887675">
      <w:pPr>
        <w:rPr>
          <w:rFonts w:ascii="Arial Narrow" w:hAnsi="Arial Narrow"/>
          <w:lang w:val="en-US"/>
        </w:rPr>
      </w:pPr>
    </w:p>
    <w:p w14:paraId="623421FD" w14:textId="30669CCF" w:rsidR="00887675" w:rsidRPr="00887675" w:rsidRDefault="00887675" w:rsidP="00887675">
      <w:pPr>
        <w:rPr>
          <w:rFonts w:ascii="Arial Narrow" w:hAnsi="Arial Narrow"/>
          <w:lang w:val="en-US"/>
        </w:rPr>
      </w:pPr>
    </w:p>
    <w:p w14:paraId="0508D549" w14:textId="77777777" w:rsidR="00887675" w:rsidRPr="00887675" w:rsidRDefault="00887675" w:rsidP="00887675">
      <w:pPr>
        <w:rPr>
          <w:rFonts w:ascii="Arial Narrow" w:hAnsi="Arial Narrow"/>
          <w:lang w:val="en-US"/>
        </w:rPr>
      </w:pPr>
      <w:r w:rsidRPr="00887675">
        <w:rPr>
          <w:rFonts w:ascii="Arial Narrow" w:hAnsi="Arial Narrow"/>
          <w:lang w:val="en-US"/>
        </w:rPr>
        <w:t>That means Company XYZ is generating 20 cents of profit for every dollar of shareholder equity. Nice and simple, right?</w:t>
      </w:r>
    </w:p>
    <w:p w14:paraId="3EEAF3FD" w14:textId="77777777" w:rsidR="00887675" w:rsidRPr="00887675" w:rsidRDefault="00887675" w:rsidP="00887675">
      <w:pPr>
        <w:rPr>
          <w:rFonts w:ascii="Arial Narrow" w:hAnsi="Arial Narrow"/>
          <w:lang w:val="en-US"/>
        </w:rPr>
      </w:pPr>
    </w:p>
    <w:p w14:paraId="65433A64" w14:textId="77777777" w:rsidR="00887675" w:rsidRDefault="00887675" w:rsidP="00887675">
      <w:pPr>
        <w:rPr>
          <w:rFonts w:ascii="Arial Narrow" w:hAnsi="Arial Narrow"/>
          <w:lang w:val="en-US"/>
        </w:rPr>
      </w:pPr>
      <w:r w:rsidRPr="00887675">
        <w:rPr>
          <w:rFonts w:ascii="Arial Narrow" w:hAnsi="Arial Narrow"/>
          <w:lang w:val="en-US"/>
        </w:rPr>
        <w:t>But remember,</w:t>
      </w:r>
      <w:r>
        <w:rPr>
          <w:rFonts w:ascii="Arial Narrow" w:hAnsi="Arial Narrow"/>
          <w:lang w:val="en-US"/>
        </w:rPr>
        <w:t xml:space="preserve"> as usual with this kind of indicators,</w:t>
      </w:r>
      <w:r w:rsidRPr="00887675">
        <w:rPr>
          <w:rFonts w:ascii="Arial Narrow" w:hAnsi="Arial Narrow"/>
          <w:lang w:val="en-US"/>
        </w:rPr>
        <w:t xml:space="preserve"> context is key. The number alone doesn’t mean much without comparing it to others in the same sector. A 20% ROE in one industry might be stellar, while in another, it could be pretty standard.</w:t>
      </w:r>
    </w:p>
    <w:p w14:paraId="5B95BD2A" w14:textId="77777777" w:rsidR="00A775E1" w:rsidRDefault="00A775E1" w:rsidP="00887675">
      <w:pPr>
        <w:rPr>
          <w:rFonts w:ascii="Arial Narrow" w:hAnsi="Arial Narrow"/>
          <w:lang w:val="en-US"/>
        </w:rPr>
      </w:pPr>
    </w:p>
    <w:p w14:paraId="421BB58E" w14:textId="77777777" w:rsidR="00A775E1" w:rsidRDefault="00A775E1" w:rsidP="00887675">
      <w:pPr>
        <w:rPr>
          <w:rFonts w:ascii="Arial Narrow" w:hAnsi="Arial Narrow"/>
          <w:lang w:val="en-US"/>
        </w:rPr>
      </w:pPr>
    </w:p>
    <w:p w14:paraId="522D6E8D" w14:textId="5E4A58F3" w:rsidR="00887675" w:rsidRPr="00887675" w:rsidRDefault="00887675" w:rsidP="00887675">
      <w:pPr>
        <w:rPr>
          <w:rFonts w:ascii="Arial Narrow" w:hAnsi="Arial Narrow"/>
          <w:lang w:val="en-US"/>
        </w:rPr>
      </w:pPr>
      <w:r w:rsidRPr="00887675">
        <w:rPr>
          <w:rFonts w:ascii="Arial Narrow" w:hAnsi="Arial Narrow"/>
          <w:b/>
          <w:bCs/>
          <w:lang w:val="en-US"/>
        </w:rPr>
        <w:t>ROE: NOT JUST A NUMBER—A STORY</w:t>
      </w:r>
    </w:p>
    <w:p w14:paraId="030F62F3" w14:textId="77777777" w:rsidR="00887675" w:rsidRDefault="00887675" w:rsidP="00887675">
      <w:pPr>
        <w:rPr>
          <w:rFonts w:ascii="Arial Narrow" w:hAnsi="Arial Narrow"/>
          <w:lang w:val="en-US"/>
        </w:rPr>
      </w:pPr>
    </w:p>
    <w:p w14:paraId="33F7031F" w14:textId="5F23FF8B" w:rsidR="00887675" w:rsidRPr="00887675" w:rsidRDefault="00887675" w:rsidP="00887675">
      <w:pPr>
        <w:rPr>
          <w:rFonts w:ascii="Arial Narrow" w:hAnsi="Arial Narrow"/>
          <w:lang w:val="en-US"/>
        </w:rPr>
      </w:pPr>
      <w:r w:rsidRPr="00887675">
        <w:rPr>
          <w:rFonts w:ascii="Arial Narrow" w:hAnsi="Arial Narrow"/>
          <w:lang w:val="en-US"/>
        </w:rPr>
        <w:t>Numbers can tell a story, and ROE is no exception. A company’s ROE reveals how well it’s managing its resources and whether it’s worth your investment. But what exactly is a “good” ROE?</w:t>
      </w:r>
    </w:p>
    <w:p w14:paraId="263F8552" w14:textId="77777777" w:rsidR="00887675" w:rsidRPr="00887675" w:rsidRDefault="00887675" w:rsidP="00887675">
      <w:pPr>
        <w:rPr>
          <w:rFonts w:ascii="Arial Narrow" w:hAnsi="Arial Narrow"/>
          <w:lang w:val="en-US"/>
        </w:rPr>
      </w:pPr>
    </w:p>
    <w:p w14:paraId="4F574CC3" w14:textId="23B51BB5" w:rsidR="00887675" w:rsidRPr="00887675" w:rsidRDefault="00887675" w:rsidP="00887675">
      <w:pPr>
        <w:rPr>
          <w:rFonts w:ascii="Arial Narrow" w:hAnsi="Arial Narrow"/>
          <w:lang w:val="en-US"/>
        </w:rPr>
      </w:pPr>
      <w:r w:rsidRPr="00887675">
        <w:rPr>
          <w:rFonts w:ascii="Arial Narrow" w:hAnsi="Arial Narrow"/>
          <w:lang w:val="en-US"/>
        </w:rPr>
        <w:t>For many investors, a ROE above 10% is considered a decent benchmark, though that varies by industry. In capital-intensive sectors, like utilities, lower ROEs are more common. In tech or retail, where assets tend to be lighter, a higher ROE is often expected.</w:t>
      </w:r>
      <w:r>
        <w:rPr>
          <w:rFonts w:ascii="Arial Narrow" w:hAnsi="Arial Narrow"/>
          <w:lang w:val="en-US"/>
        </w:rPr>
        <w:t xml:space="preserve"> </w:t>
      </w:r>
      <w:r w:rsidRPr="00887675">
        <w:rPr>
          <w:rFonts w:ascii="Arial Narrow" w:hAnsi="Arial Narrow"/>
          <w:lang w:val="en-US"/>
        </w:rPr>
        <w:t>Take the S&amp;P 500 as a point of reference. The average ROE for companies listed there is around 21.7% as of mid-2024. If a company’s ROE is significantly higher, it might be a sign that they’re doing something right—or that there’s something you need to investigate further.</w:t>
      </w:r>
    </w:p>
    <w:p w14:paraId="6328BD23" w14:textId="77777777" w:rsidR="00887675" w:rsidRDefault="00887675" w:rsidP="00887675">
      <w:pPr>
        <w:rPr>
          <w:rFonts w:ascii="Arial Narrow" w:hAnsi="Arial Narrow"/>
          <w:lang w:val="en-US"/>
        </w:rPr>
      </w:pPr>
    </w:p>
    <w:p w14:paraId="4867454C" w14:textId="77777777" w:rsidR="00887675" w:rsidRPr="00887675" w:rsidRDefault="00887675" w:rsidP="00887675">
      <w:pPr>
        <w:rPr>
          <w:rFonts w:ascii="Arial Narrow" w:hAnsi="Arial Narrow"/>
          <w:lang w:val="en-US"/>
        </w:rPr>
      </w:pPr>
    </w:p>
    <w:p w14:paraId="2CECE1ED" w14:textId="77777777" w:rsidR="00887675" w:rsidRPr="00887675" w:rsidRDefault="00887675" w:rsidP="00887675">
      <w:pPr>
        <w:rPr>
          <w:rFonts w:ascii="Arial Narrow" w:hAnsi="Arial Narrow"/>
          <w:b/>
          <w:bCs/>
          <w:lang w:val="en-US"/>
        </w:rPr>
      </w:pPr>
      <w:r w:rsidRPr="00887675">
        <w:rPr>
          <w:rFonts w:ascii="Arial Narrow" w:hAnsi="Arial Narrow"/>
          <w:b/>
          <w:bCs/>
          <w:lang w:val="en-US"/>
        </w:rPr>
        <w:t>WHEN ROE TURNS SOUR: AT&amp;T VS. APPLE</w:t>
      </w:r>
    </w:p>
    <w:p w14:paraId="2DA11D48" w14:textId="77777777" w:rsidR="00887675" w:rsidRDefault="00887675" w:rsidP="00887675">
      <w:pPr>
        <w:rPr>
          <w:rFonts w:ascii="Arial Narrow" w:hAnsi="Arial Narrow"/>
          <w:lang w:val="en-US"/>
        </w:rPr>
      </w:pPr>
    </w:p>
    <w:p w14:paraId="16A3FE64" w14:textId="700FEA6C" w:rsidR="00887675" w:rsidRPr="00887675" w:rsidRDefault="00887675" w:rsidP="00887675">
      <w:pPr>
        <w:rPr>
          <w:rFonts w:ascii="Arial Narrow" w:hAnsi="Arial Narrow"/>
          <w:lang w:val="en-US"/>
        </w:rPr>
      </w:pPr>
      <w:r w:rsidRPr="00887675">
        <w:rPr>
          <w:rFonts w:ascii="Arial Narrow" w:hAnsi="Arial Narrow"/>
          <w:lang w:val="en-US"/>
        </w:rPr>
        <w:t>Let’s put theory into practice with two well-known companies: Apple and AT&amp;T. Both are giants in their respective industries, but their ROEs tell very different stories.</w:t>
      </w:r>
    </w:p>
    <w:p w14:paraId="2C630C22" w14:textId="77777777" w:rsidR="00887675" w:rsidRPr="00887675" w:rsidRDefault="00887675" w:rsidP="00887675">
      <w:pPr>
        <w:rPr>
          <w:rFonts w:ascii="Arial Narrow" w:hAnsi="Arial Narrow"/>
          <w:lang w:val="en-US"/>
        </w:rPr>
      </w:pPr>
    </w:p>
    <w:p w14:paraId="3CDFC832" w14:textId="77777777" w:rsidR="00887675" w:rsidRDefault="00887675" w:rsidP="00887675">
      <w:pPr>
        <w:rPr>
          <w:rFonts w:ascii="Arial Narrow" w:hAnsi="Arial Narrow"/>
          <w:b/>
          <w:bCs/>
          <w:lang w:val="en-US"/>
        </w:rPr>
      </w:pPr>
    </w:p>
    <w:p w14:paraId="6D13750E" w14:textId="77777777" w:rsidR="00A775E1" w:rsidRDefault="00A775E1" w:rsidP="00887675">
      <w:pPr>
        <w:rPr>
          <w:rFonts w:ascii="Arial Narrow" w:hAnsi="Arial Narrow"/>
          <w:b/>
          <w:bCs/>
          <w:lang w:val="en-US"/>
        </w:rPr>
      </w:pPr>
    </w:p>
    <w:p w14:paraId="76A1E0B4" w14:textId="77777777" w:rsidR="00A775E1" w:rsidRDefault="00A775E1" w:rsidP="00887675">
      <w:pPr>
        <w:rPr>
          <w:rFonts w:ascii="Arial Narrow" w:hAnsi="Arial Narrow"/>
          <w:b/>
          <w:bCs/>
          <w:lang w:val="en-US"/>
        </w:rPr>
      </w:pPr>
    </w:p>
    <w:p w14:paraId="2D3DA33B" w14:textId="77777777" w:rsidR="00A775E1" w:rsidRDefault="00A775E1" w:rsidP="00887675">
      <w:pPr>
        <w:rPr>
          <w:rFonts w:ascii="Arial Narrow" w:hAnsi="Arial Narrow"/>
          <w:b/>
          <w:bCs/>
          <w:lang w:val="en-US"/>
        </w:rPr>
      </w:pPr>
    </w:p>
    <w:p w14:paraId="6ED54AF7" w14:textId="5F4A34FD" w:rsidR="00887675" w:rsidRDefault="00887675" w:rsidP="00887675">
      <w:pPr>
        <w:rPr>
          <w:rFonts w:ascii="Arial Narrow" w:hAnsi="Arial Narrow"/>
          <w:b/>
          <w:bCs/>
          <w:i/>
          <w:iCs/>
          <w:lang w:val="en-US"/>
        </w:rPr>
      </w:pPr>
      <w:r w:rsidRPr="00887675">
        <w:rPr>
          <w:rFonts w:ascii="Arial Narrow" w:hAnsi="Arial Narrow"/>
          <w:b/>
          <w:bCs/>
          <w:i/>
          <w:iCs/>
          <w:lang w:val="en-US"/>
        </w:rPr>
        <w:lastRenderedPageBreak/>
        <w:t>APPLE: A MASTERCLASS IN HIGH ROE</w:t>
      </w:r>
    </w:p>
    <w:p w14:paraId="71CCD82A" w14:textId="77777777" w:rsidR="00887675" w:rsidRPr="00887675" w:rsidRDefault="00887675" w:rsidP="00887675">
      <w:pPr>
        <w:rPr>
          <w:rFonts w:ascii="Arial Narrow" w:hAnsi="Arial Narrow"/>
          <w:b/>
          <w:bCs/>
          <w:i/>
          <w:iCs/>
          <w:lang w:val="en-US"/>
        </w:rPr>
      </w:pPr>
    </w:p>
    <w:p w14:paraId="279A2355" w14:textId="502C9847" w:rsidR="00887675" w:rsidRDefault="00887675" w:rsidP="00887675">
      <w:pPr>
        <w:rPr>
          <w:rFonts w:ascii="Arial Narrow" w:hAnsi="Arial Narrow"/>
          <w:lang w:val="en-US"/>
        </w:rPr>
      </w:pPr>
      <w:r>
        <w:rPr>
          <w:rFonts w:ascii="Arial Narrow" w:hAnsi="Arial Narrow"/>
          <w:noProof/>
          <w:lang w:val="en-US"/>
        </w:rPr>
        <w:drawing>
          <wp:inline distT="0" distB="0" distL="0" distR="0" wp14:anchorId="59DABC0A" wp14:editId="52FF560C">
            <wp:extent cx="5756910" cy="1803400"/>
            <wp:effectExtent l="0" t="0" r="0" b="0"/>
            <wp:docPr id="1109269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6929" name="Image 110926929"/>
                    <pic:cNvPicPr/>
                  </pic:nvPicPr>
                  <pic:blipFill>
                    <a:blip r:embed="rId7">
                      <a:extLst>
                        <a:ext uri="{28A0092B-C50C-407E-A947-70E740481C1C}">
                          <a14:useLocalDpi xmlns:a14="http://schemas.microsoft.com/office/drawing/2010/main" val="0"/>
                        </a:ext>
                      </a:extLst>
                    </a:blip>
                    <a:stretch>
                      <a:fillRect/>
                    </a:stretch>
                  </pic:blipFill>
                  <pic:spPr>
                    <a:xfrm>
                      <a:off x="0" y="0"/>
                      <a:ext cx="5756910" cy="1803400"/>
                    </a:xfrm>
                    <a:prstGeom prst="rect">
                      <a:avLst/>
                    </a:prstGeom>
                  </pic:spPr>
                </pic:pic>
              </a:graphicData>
            </a:graphic>
          </wp:inline>
        </w:drawing>
      </w:r>
    </w:p>
    <w:p w14:paraId="7747BD29" w14:textId="77777777" w:rsidR="00BB366E" w:rsidRDefault="00BB366E" w:rsidP="00887675">
      <w:pPr>
        <w:rPr>
          <w:rFonts w:ascii="Arial Narrow" w:hAnsi="Arial Narrow"/>
          <w:lang w:val="en-US"/>
        </w:rPr>
      </w:pPr>
    </w:p>
    <w:p w14:paraId="07A9E50A" w14:textId="1829A13E" w:rsidR="00887675" w:rsidRPr="00887675" w:rsidRDefault="00887675" w:rsidP="00887675">
      <w:pPr>
        <w:rPr>
          <w:rFonts w:ascii="Arial Narrow" w:hAnsi="Arial Narrow"/>
          <w:lang w:val="en-US"/>
        </w:rPr>
      </w:pPr>
      <w:r w:rsidRPr="00887675">
        <w:rPr>
          <w:rFonts w:ascii="Arial Narrow" w:hAnsi="Arial Narrow"/>
          <w:lang w:val="en-US"/>
        </w:rPr>
        <w:t xml:space="preserve">Apple consistently posts a strong ROE, and as of 2024, it sits at a healthy </w:t>
      </w:r>
      <w:r>
        <w:rPr>
          <w:rFonts w:ascii="Arial Narrow" w:hAnsi="Arial Narrow"/>
          <w:lang w:val="en-US"/>
        </w:rPr>
        <w:t>160%</w:t>
      </w:r>
      <w:r w:rsidRPr="00887675">
        <w:rPr>
          <w:rFonts w:ascii="Arial Narrow" w:hAnsi="Arial Narrow"/>
          <w:lang w:val="en-US"/>
        </w:rPr>
        <w:t>. So, what’s behind this number? For one, Apple knows how to manage its equity efficiently. It has high profit margins on products that dominate the market, meaning they don’t need to plow huge amounts of cash into assets to generate profits. Apple’s sleek product line and brand loyalty translate into robust revenues with relatively low costs, boosting both profits and ROE.</w:t>
      </w:r>
    </w:p>
    <w:p w14:paraId="1BC45520" w14:textId="77777777" w:rsidR="00887675" w:rsidRPr="00887675" w:rsidRDefault="00887675" w:rsidP="00887675">
      <w:pPr>
        <w:rPr>
          <w:rFonts w:ascii="Arial Narrow" w:hAnsi="Arial Narrow"/>
          <w:lang w:val="en-US"/>
        </w:rPr>
      </w:pPr>
    </w:p>
    <w:p w14:paraId="559D2455" w14:textId="3906B112" w:rsidR="00671AF0" w:rsidRDefault="00887675" w:rsidP="00887675">
      <w:pPr>
        <w:rPr>
          <w:rFonts w:ascii="Arial Narrow" w:hAnsi="Arial Narrow"/>
          <w:lang w:val="en-US"/>
        </w:rPr>
      </w:pPr>
      <w:r w:rsidRPr="00887675">
        <w:rPr>
          <w:rFonts w:ascii="Arial Narrow" w:hAnsi="Arial Narrow"/>
          <w:lang w:val="en-US"/>
        </w:rPr>
        <w:t>Another factor behind Apple’s impressive ROE is its savvy use of debt. Apple does borrow money, but it’s smart about it. With a debt-to-equity ratio around 1.</w:t>
      </w:r>
      <w:r w:rsidR="009310C0">
        <w:rPr>
          <w:rFonts w:ascii="Arial Narrow" w:hAnsi="Arial Narrow"/>
          <w:lang w:val="en-US"/>
        </w:rPr>
        <w:t>51</w:t>
      </w:r>
      <w:r w:rsidR="00671AF0">
        <w:rPr>
          <w:rFonts w:ascii="Arial Narrow" w:hAnsi="Arial Narrow"/>
          <w:lang w:val="en-US"/>
        </w:rPr>
        <w:t xml:space="preserve"> (see graph below)</w:t>
      </w:r>
      <w:r w:rsidRPr="00887675">
        <w:rPr>
          <w:rFonts w:ascii="Arial Narrow" w:hAnsi="Arial Narrow"/>
          <w:lang w:val="en-US"/>
        </w:rPr>
        <w:t>, Apple uses this borrowed cash to fund profitable ventures that generate returns far greater than the cost of the debt. That’s the kind of leverage you want to see.</w:t>
      </w:r>
    </w:p>
    <w:p w14:paraId="6C7A6AC7" w14:textId="77777777" w:rsidR="00BB366E" w:rsidRDefault="00BB366E" w:rsidP="00887675">
      <w:pPr>
        <w:rPr>
          <w:rFonts w:ascii="Arial Narrow" w:hAnsi="Arial Narrow"/>
          <w:lang w:val="en-US"/>
        </w:rPr>
      </w:pPr>
    </w:p>
    <w:p w14:paraId="560271B5" w14:textId="77460E3D" w:rsidR="00887675" w:rsidRPr="00887675" w:rsidRDefault="00671AF0" w:rsidP="00887675">
      <w:pPr>
        <w:rPr>
          <w:rFonts w:ascii="Arial Narrow" w:hAnsi="Arial Narrow"/>
          <w:lang w:val="en-US"/>
        </w:rPr>
      </w:pPr>
      <w:r>
        <w:rPr>
          <w:rFonts w:ascii="Arial Narrow" w:hAnsi="Arial Narrow"/>
          <w:noProof/>
          <w:lang w:val="en-US"/>
        </w:rPr>
        <w:drawing>
          <wp:inline distT="0" distB="0" distL="0" distR="0" wp14:anchorId="38CA6FD2" wp14:editId="2F33F4E0">
            <wp:extent cx="5756910" cy="1841500"/>
            <wp:effectExtent l="0" t="0" r="0" b="0"/>
            <wp:docPr id="2375248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24856" name="Image 237524856"/>
                    <pic:cNvPicPr/>
                  </pic:nvPicPr>
                  <pic:blipFill>
                    <a:blip r:embed="rId8">
                      <a:extLst>
                        <a:ext uri="{28A0092B-C50C-407E-A947-70E740481C1C}">
                          <a14:useLocalDpi xmlns:a14="http://schemas.microsoft.com/office/drawing/2010/main" val="0"/>
                        </a:ext>
                      </a:extLst>
                    </a:blip>
                    <a:stretch>
                      <a:fillRect/>
                    </a:stretch>
                  </pic:blipFill>
                  <pic:spPr>
                    <a:xfrm>
                      <a:off x="0" y="0"/>
                      <a:ext cx="5756910" cy="1841500"/>
                    </a:xfrm>
                    <a:prstGeom prst="rect">
                      <a:avLst/>
                    </a:prstGeom>
                  </pic:spPr>
                </pic:pic>
              </a:graphicData>
            </a:graphic>
          </wp:inline>
        </w:drawing>
      </w:r>
    </w:p>
    <w:p w14:paraId="36D118BA" w14:textId="77777777" w:rsidR="00887675" w:rsidRPr="00887675" w:rsidRDefault="00887675" w:rsidP="00887675">
      <w:pPr>
        <w:rPr>
          <w:rFonts w:ascii="Arial Narrow" w:hAnsi="Arial Narrow"/>
          <w:lang w:val="en-US"/>
        </w:rPr>
      </w:pPr>
    </w:p>
    <w:p w14:paraId="0EAE6799" w14:textId="77777777" w:rsidR="00887675" w:rsidRDefault="00887675" w:rsidP="00887675">
      <w:pPr>
        <w:rPr>
          <w:rFonts w:ascii="Arial Narrow" w:hAnsi="Arial Narrow"/>
          <w:lang w:val="en-US"/>
        </w:rPr>
      </w:pPr>
      <w:r w:rsidRPr="00887675">
        <w:rPr>
          <w:rFonts w:ascii="Arial Narrow" w:hAnsi="Arial Narrow"/>
          <w:lang w:val="en-US"/>
        </w:rPr>
        <w:t>This high ROE shows that Apple is a well-oiled machine, effectively using both shareholders’ investments and borrowed funds to keep growing.</w:t>
      </w:r>
    </w:p>
    <w:p w14:paraId="3050D50F" w14:textId="77777777" w:rsidR="00B24BC7" w:rsidRPr="00887675" w:rsidRDefault="00B24BC7" w:rsidP="00887675">
      <w:pPr>
        <w:rPr>
          <w:rFonts w:ascii="Arial Narrow" w:hAnsi="Arial Narrow"/>
          <w:lang w:val="en-US"/>
        </w:rPr>
      </w:pPr>
    </w:p>
    <w:p w14:paraId="53C90BC2" w14:textId="7F913F46" w:rsidR="00887675" w:rsidRPr="00887675" w:rsidRDefault="00887675" w:rsidP="00887675">
      <w:pPr>
        <w:rPr>
          <w:rFonts w:ascii="Arial Narrow" w:hAnsi="Arial Narrow"/>
          <w:lang w:val="en-US"/>
        </w:rPr>
      </w:pPr>
    </w:p>
    <w:p w14:paraId="62D4EDA3" w14:textId="77777777" w:rsidR="00887675" w:rsidRPr="00BB366E" w:rsidRDefault="00887675" w:rsidP="00887675">
      <w:pPr>
        <w:rPr>
          <w:rFonts w:ascii="Arial Narrow" w:hAnsi="Arial Narrow"/>
          <w:b/>
          <w:bCs/>
          <w:i/>
          <w:iCs/>
          <w:lang w:val="en-US"/>
        </w:rPr>
      </w:pPr>
      <w:r w:rsidRPr="00BB366E">
        <w:rPr>
          <w:rFonts w:ascii="Arial Narrow" w:hAnsi="Arial Narrow"/>
          <w:b/>
          <w:bCs/>
          <w:i/>
          <w:iCs/>
          <w:lang w:val="en-US"/>
        </w:rPr>
        <w:t>AT&amp;T: WHEN ROE DROPS THE BALL</w:t>
      </w:r>
    </w:p>
    <w:p w14:paraId="33644D2E" w14:textId="77777777" w:rsidR="00B24BC7" w:rsidRDefault="00B24BC7" w:rsidP="00887675">
      <w:pPr>
        <w:rPr>
          <w:rFonts w:ascii="Arial Narrow" w:hAnsi="Arial Narrow"/>
          <w:lang w:val="en-US"/>
        </w:rPr>
      </w:pPr>
    </w:p>
    <w:p w14:paraId="1DAD7017" w14:textId="280A6F80" w:rsidR="00887675" w:rsidRDefault="00887675" w:rsidP="00887675">
      <w:pPr>
        <w:rPr>
          <w:rFonts w:ascii="Arial Narrow" w:hAnsi="Arial Narrow"/>
          <w:lang w:val="en-US"/>
        </w:rPr>
      </w:pPr>
      <w:r w:rsidRPr="00887675">
        <w:rPr>
          <w:rFonts w:ascii="Arial Narrow" w:hAnsi="Arial Narrow"/>
          <w:lang w:val="en-US"/>
        </w:rPr>
        <w:t>On the flip side, AT&amp;T has struggled with a low ROE, often hovering around the 10% mark or lower. While 10% might not seem terrible on the surface, for a company of AT&amp;T’s size and industry, it raises some concerns.</w:t>
      </w:r>
    </w:p>
    <w:p w14:paraId="54D5AA81" w14:textId="77777777" w:rsidR="00B24BC7" w:rsidRPr="00887675" w:rsidRDefault="00B24BC7" w:rsidP="00887675">
      <w:pPr>
        <w:rPr>
          <w:rFonts w:ascii="Arial Narrow" w:hAnsi="Arial Narrow"/>
          <w:lang w:val="en-US"/>
        </w:rPr>
      </w:pPr>
    </w:p>
    <w:p w14:paraId="21B1EF16" w14:textId="420740DD" w:rsidR="00887675" w:rsidRDefault="00B24BC7" w:rsidP="00887675">
      <w:pPr>
        <w:rPr>
          <w:rFonts w:ascii="Arial Narrow" w:hAnsi="Arial Narrow"/>
          <w:lang w:val="en-US"/>
        </w:rPr>
      </w:pPr>
      <w:r>
        <w:rPr>
          <w:rFonts w:ascii="Arial Narrow" w:hAnsi="Arial Narrow"/>
          <w:noProof/>
          <w:lang w:val="en-US"/>
        </w:rPr>
        <w:lastRenderedPageBreak/>
        <w:drawing>
          <wp:inline distT="0" distB="0" distL="0" distR="0" wp14:anchorId="2B502C10" wp14:editId="2C3F8E6B">
            <wp:extent cx="5756910" cy="1806575"/>
            <wp:effectExtent l="0" t="0" r="0" b="0"/>
            <wp:docPr id="10329819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81943" name="Image 1032981943"/>
                    <pic:cNvPicPr/>
                  </pic:nvPicPr>
                  <pic:blipFill>
                    <a:blip r:embed="rId9">
                      <a:extLst>
                        <a:ext uri="{28A0092B-C50C-407E-A947-70E740481C1C}">
                          <a14:useLocalDpi xmlns:a14="http://schemas.microsoft.com/office/drawing/2010/main" val="0"/>
                        </a:ext>
                      </a:extLst>
                    </a:blip>
                    <a:stretch>
                      <a:fillRect/>
                    </a:stretch>
                  </pic:blipFill>
                  <pic:spPr>
                    <a:xfrm>
                      <a:off x="0" y="0"/>
                      <a:ext cx="5756910" cy="1806575"/>
                    </a:xfrm>
                    <a:prstGeom prst="rect">
                      <a:avLst/>
                    </a:prstGeom>
                  </pic:spPr>
                </pic:pic>
              </a:graphicData>
            </a:graphic>
          </wp:inline>
        </w:drawing>
      </w:r>
    </w:p>
    <w:p w14:paraId="11A5CBC5" w14:textId="77777777" w:rsidR="00B24BC7" w:rsidRPr="00887675" w:rsidRDefault="00B24BC7" w:rsidP="00887675">
      <w:pPr>
        <w:rPr>
          <w:rFonts w:ascii="Arial Narrow" w:hAnsi="Arial Narrow"/>
          <w:lang w:val="en-US"/>
        </w:rPr>
      </w:pPr>
    </w:p>
    <w:p w14:paraId="7FB96517" w14:textId="306CE74A" w:rsidR="00887675" w:rsidRPr="00887675" w:rsidRDefault="00887675" w:rsidP="00887675">
      <w:pPr>
        <w:rPr>
          <w:rFonts w:ascii="Arial Narrow" w:hAnsi="Arial Narrow"/>
          <w:lang w:val="en-US"/>
        </w:rPr>
      </w:pPr>
      <w:r w:rsidRPr="00887675">
        <w:rPr>
          <w:rFonts w:ascii="Arial Narrow" w:hAnsi="Arial Narrow"/>
          <w:lang w:val="en-US"/>
        </w:rPr>
        <w:t>What’s going wrong here? A big part of AT&amp;T’s issue is its massive debt load. Over the years, AT&amp;T has made several large acquisitions, like the costly buyout of Time Warner. While acquisitions can sometimes boost growth, they’ve saddled AT&amp;T with significant debt. Since ROE is calculated by dividing profits by equity (which is assets minus liabilities), high levels of debt reduce the equity figure, pushing down ROE.</w:t>
      </w:r>
      <w:r w:rsidR="000970E5">
        <w:rPr>
          <w:rFonts w:ascii="Arial Narrow" w:hAnsi="Arial Narrow"/>
          <w:lang w:val="en-US"/>
        </w:rPr>
        <w:t xml:space="preserve"> </w:t>
      </w:r>
      <w:r w:rsidRPr="00887675">
        <w:rPr>
          <w:rFonts w:ascii="Arial Narrow" w:hAnsi="Arial Narrow"/>
          <w:lang w:val="en-US"/>
        </w:rPr>
        <w:t xml:space="preserve">Another problem is that AT&amp;T operates in a mature, highly competitive industry—telecommunications. Unlike tech giants like Apple, where margins are high, AT&amp;T’s margins are squeezed by competitors and massive infrastructure costs. The end </w:t>
      </w:r>
      <w:r w:rsidR="000970E5" w:rsidRPr="00887675">
        <w:rPr>
          <w:rFonts w:ascii="Arial Narrow" w:hAnsi="Arial Narrow"/>
          <w:lang w:val="en-US"/>
        </w:rPr>
        <w:t>results</w:t>
      </w:r>
      <w:r w:rsidRPr="00887675">
        <w:rPr>
          <w:rFonts w:ascii="Arial Narrow" w:hAnsi="Arial Narrow"/>
          <w:lang w:val="en-US"/>
        </w:rPr>
        <w:t>? Less profit and a lower return on equity.</w:t>
      </w:r>
    </w:p>
    <w:p w14:paraId="06681806" w14:textId="77777777" w:rsidR="00887675" w:rsidRPr="00887675" w:rsidRDefault="00887675" w:rsidP="00887675">
      <w:pPr>
        <w:rPr>
          <w:rFonts w:ascii="Arial Narrow" w:hAnsi="Arial Narrow"/>
          <w:lang w:val="en-US"/>
        </w:rPr>
      </w:pPr>
    </w:p>
    <w:p w14:paraId="626E4A9C" w14:textId="77777777" w:rsidR="00887675" w:rsidRPr="00887675" w:rsidRDefault="00887675" w:rsidP="00887675">
      <w:pPr>
        <w:rPr>
          <w:rFonts w:ascii="Arial Narrow" w:hAnsi="Arial Narrow"/>
          <w:lang w:val="en-US"/>
        </w:rPr>
      </w:pPr>
      <w:r w:rsidRPr="00887675">
        <w:rPr>
          <w:rFonts w:ascii="Arial Narrow" w:hAnsi="Arial Narrow"/>
          <w:lang w:val="en-US"/>
        </w:rPr>
        <w:t>So, while Apple’s high ROE signals effective management and growth, AT&amp;T’s lower ROE suggests struggles with profitability and an over-reliance on debt. This contrast helps illustrate why ROE isn’t just a number—it’s a glimpse into a company’s entire strategy.</w:t>
      </w:r>
    </w:p>
    <w:p w14:paraId="3C3137DC" w14:textId="77777777" w:rsidR="00887675" w:rsidRDefault="00887675" w:rsidP="00887675">
      <w:pPr>
        <w:rPr>
          <w:rFonts w:ascii="Arial Narrow" w:hAnsi="Arial Narrow"/>
          <w:lang w:val="en-US"/>
        </w:rPr>
      </w:pPr>
    </w:p>
    <w:p w14:paraId="3A5EF19A" w14:textId="77777777" w:rsidR="00711053" w:rsidRDefault="00711053" w:rsidP="00887675">
      <w:pPr>
        <w:rPr>
          <w:rFonts w:ascii="Arial Narrow" w:hAnsi="Arial Narrow"/>
          <w:lang w:val="en-US"/>
        </w:rPr>
      </w:pPr>
    </w:p>
    <w:p w14:paraId="06F84D0B" w14:textId="77777777" w:rsidR="00711053" w:rsidRDefault="00711053" w:rsidP="00887675">
      <w:pPr>
        <w:rPr>
          <w:rFonts w:ascii="Arial Narrow" w:hAnsi="Arial Narrow"/>
          <w:lang w:val="en-US"/>
        </w:rPr>
      </w:pPr>
    </w:p>
    <w:p w14:paraId="5E02CBFD" w14:textId="77777777" w:rsidR="00A775E1" w:rsidRDefault="00A775E1" w:rsidP="00887675">
      <w:pPr>
        <w:rPr>
          <w:rFonts w:ascii="Arial Narrow" w:hAnsi="Arial Narrow"/>
          <w:lang w:val="en-US"/>
        </w:rPr>
      </w:pPr>
    </w:p>
    <w:p w14:paraId="59F618EC" w14:textId="77777777" w:rsidR="00A775E1" w:rsidRDefault="00A775E1" w:rsidP="00887675">
      <w:pPr>
        <w:rPr>
          <w:rFonts w:ascii="Arial Narrow" w:hAnsi="Arial Narrow"/>
          <w:lang w:val="en-US"/>
        </w:rPr>
      </w:pPr>
    </w:p>
    <w:p w14:paraId="5F039D97" w14:textId="77777777" w:rsidR="00A775E1" w:rsidRDefault="00A775E1" w:rsidP="00887675">
      <w:pPr>
        <w:rPr>
          <w:rFonts w:ascii="Arial Narrow" w:hAnsi="Arial Narrow"/>
          <w:lang w:val="en-US"/>
        </w:rPr>
      </w:pPr>
    </w:p>
    <w:p w14:paraId="22A6D82F" w14:textId="77777777" w:rsidR="00A775E1" w:rsidRDefault="00A775E1" w:rsidP="00887675">
      <w:pPr>
        <w:rPr>
          <w:rFonts w:ascii="Arial Narrow" w:hAnsi="Arial Narrow"/>
          <w:lang w:val="en-US"/>
        </w:rPr>
      </w:pPr>
    </w:p>
    <w:p w14:paraId="6BFEF99D" w14:textId="77777777" w:rsidR="00A775E1" w:rsidRDefault="00A775E1" w:rsidP="00887675">
      <w:pPr>
        <w:rPr>
          <w:rFonts w:ascii="Arial Narrow" w:hAnsi="Arial Narrow"/>
          <w:lang w:val="en-US"/>
        </w:rPr>
      </w:pPr>
    </w:p>
    <w:p w14:paraId="316BD8EE" w14:textId="77777777" w:rsidR="00A775E1" w:rsidRDefault="00A775E1" w:rsidP="00887675">
      <w:pPr>
        <w:rPr>
          <w:rFonts w:ascii="Arial Narrow" w:hAnsi="Arial Narrow"/>
          <w:lang w:val="en-US"/>
        </w:rPr>
      </w:pPr>
    </w:p>
    <w:p w14:paraId="3F617697" w14:textId="77777777" w:rsidR="00A775E1" w:rsidRDefault="00A775E1" w:rsidP="00887675">
      <w:pPr>
        <w:rPr>
          <w:rFonts w:ascii="Arial Narrow" w:hAnsi="Arial Narrow"/>
          <w:lang w:val="en-US"/>
        </w:rPr>
      </w:pPr>
    </w:p>
    <w:p w14:paraId="7CB0977F" w14:textId="77777777" w:rsidR="00A775E1" w:rsidRDefault="00A775E1" w:rsidP="00887675">
      <w:pPr>
        <w:rPr>
          <w:rFonts w:ascii="Arial Narrow" w:hAnsi="Arial Narrow"/>
          <w:lang w:val="en-US"/>
        </w:rPr>
      </w:pPr>
    </w:p>
    <w:p w14:paraId="25CC3541" w14:textId="77777777" w:rsidR="00A775E1" w:rsidRDefault="00A775E1" w:rsidP="00887675">
      <w:pPr>
        <w:rPr>
          <w:rFonts w:ascii="Arial Narrow" w:hAnsi="Arial Narrow"/>
          <w:lang w:val="en-US"/>
        </w:rPr>
      </w:pPr>
    </w:p>
    <w:p w14:paraId="45176FA3" w14:textId="77777777" w:rsidR="00A775E1" w:rsidRDefault="00A775E1" w:rsidP="00887675">
      <w:pPr>
        <w:rPr>
          <w:rFonts w:ascii="Arial Narrow" w:hAnsi="Arial Narrow"/>
          <w:lang w:val="en-US"/>
        </w:rPr>
      </w:pPr>
    </w:p>
    <w:p w14:paraId="5C044DB3" w14:textId="77777777" w:rsidR="00A775E1" w:rsidRDefault="00A775E1" w:rsidP="00887675">
      <w:pPr>
        <w:rPr>
          <w:rFonts w:ascii="Arial Narrow" w:hAnsi="Arial Narrow"/>
          <w:lang w:val="en-US"/>
        </w:rPr>
      </w:pPr>
    </w:p>
    <w:p w14:paraId="3BB22350" w14:textId="77777777" w:rsidR="00A775E1" w:rsidRDefault="00A775E1" w:rsidP="00887675">
      <w:pPr>
        <w:rPr>
          <w:rFonts w:ascii="Arial Narrow" w:hAnsi="Arial Narrow"/>
          <w:lang w:val="en-US"/>
        </w:rPr>
      </w:pPr>
    </w:p>
    <w:p w14:paraId="20B69F39" w14:textId="77777777" w:rsidR="00A775E1" w:rsidRDefault="00A775E1" w:rsidP="00887675">
      <w:pPr>
        <w:rPr>
          <w:rFonts w:ascii="Arial Narrow" w:hAnsi="Arial Narrow"/>
          <w:lang w:val="en-US"/>
        </w:rPr>
      </w:pPr>
    </w:p>
    <w:p w14:paraId="414BA5A1" w14:textId="77777777" w:rsidR="00A775E1" w:rsidRDefault="00A775E1" w:rsidP="00887675">
      <w:pPr>
        <w:rPr>
          <w:rFonts w:ascii="Arial Narrow" w:hAnsi="Arial Narrow"/>
          <w:lang w:val="en-US"/>
        </w:rPr>
      </w:pPr>
    </w:p>
    <w:p w14:paraId="2B1C3B3C" w14:textId="77777777" w:rsidR="00A775E1" w:rsidRDefault="00A775E1" w:rsidP="00887675">
      <w:pPr>
        <w:rPr>
          <w:rFonts w:ascii="Arial Narrow" w:hAnsi="Arial Narrow"/>
          <w:lang w:val="en-US"/>
        </w:rPr>
      </w:pPr>
    </w:p>
    <w:p w14:paraId="63A3E4CF" w14:textId="77777777" w:rsidR="00A775E1" w:rsidRDefault="00A775E1" w:rsidP="00887675">
      <w:pPr>
        <w:rPr>
          <w:rFonts w:ascii="Arial Narrow" w:hAnsi="Arial Narrow"/>
          <w:lang w:val="en-US"/>
        </w:rPr>
      </w:pPr>
    </w:p>
    <w:p w14:paraId="5910DF24" w14:textId="77777777" w:rsidR="00A775E1" w:rsidRDefault="00A775E1" w:rsidP="00887675">
      <w:pPr>
        <w:rPr>
          <w:rFonts w:ascii="Arial Narrow" w:hAnsi="Arial Narrow"/>
          <w:lang w:val="en-US"/>
        </w:rPr>
      </w:pPr>
    </w:p>
    <w:p w14:paraId="6CD2046A" w14:textId="77777777" w:rsidR="00A775E1" w:rsidRDefault="00A775E1" w:rsidP="00887675">
      <w:pPr>
        <w:rPr>
          <w:rFonts w:ascii="Arial Narrow" w:hAnsi="Arial Narrow"/>
          <w:lang w:val="en-US"/>
        </w:rPr>
      </w:pPr>
    </w:p>
    <w:p w14:paraId="386191FC" w14:textId="77777777" w:rsidR="00A775E1" w:rsidRDefault="00A775E1" w:rsidP="00887675">
      <w:pPr>
        <w:rPr>
          <w:rFonts w:ascii="Arial Narrow" w:hAnsi="Arial Narrow"/>
          <w:lang w:val="en-US"/>
        </w:rPr>
      </w:pPr>
    </w:p>
    <w:p w14:paraId="544475E1" w14:textId="77777777" w:rsidR="000970E5" w:rsidRDefault="000970E5" w:rsidP="00887675">
      <w:pPr>
        <w:rPr>
          <w:rFonts w:ascii="Arial Narrow" w:hAnsi="Arial Narrow"/>
          <w:lang w:val="en-US"/>
        </w:rPr>
      </w:pPr>
    </w:p>
    <w:p w14:paraId="7B26ED20" w14:textId="77777777" w:rsidR="00A775E1" w:rsidRDefault="00A775E1" w:rsidP="00887675">
      <w:pPr>
        <w:rPr>
          <w:rFonts w:ascii="Arial Narrow" w:hAnsi="Arial Narrow"/>
          <w:lang w:val="en-US"/>
        </w:rPr>
      </w:pPr>
    </w:p>
    <w:p w14:paraId="55AA920F" w14:textId="77777777" w:rsidR="00A775E1" w:rsidRDefault="00A775E1" w:rsidP="00887675">
      <w:pPr>
        <w:rPr>
          <w:rFonts w:ascii="Arial Narrow" w:hAnsi="Arial Narrow"/>
          <w:lang w:val="en-US"/>
        </w:rPr>
      </w:pPr>
    </w:p>
    <w:p w14:paraId="4CA4782F" w14:textId="77777777" w:rsidR="00A775E1" w:rsidRDefault="00A775E1" w:rsidP="00887675">
      <w:pPr>
        <w:rPr>
          <w:rFonts w:ascii="Arial Narrow" w:hAnsi="Arial Narrow"/>
          <w:lang w:val="en-US"/>
        </w:rPr>
      </w:pPr>
    </w:p>
    <w:p w14:paraId="4AF1994E" w14:textId="77777777" w:rsidR="00711053" w:rsidRPr="00887675" w:rsidRDefault="00711053" w:rsidP="00887675">
      <w:pPr>
        <w:rPr>
          <w:rFonts w:ascii="Arial Narrow" w:hAnsi="Arial Narrow"/>
          <w:lang w:val="en-US"/>
        </w:rPr>
      </w:pPr>
    </w:p>
    <w:p w14:paraId="4738D00F" w14:textId="77777777" w:rsidR="00887675" w:rsidRPr="00711053" w:rsidRDefault="00887675" w:rsidP="00887675">
      <w:pPr>
        <w:rPr>
          <w:rFonts w:ascii="Arial Narrow" w:hAnsi="Arial Narrow"/>
          <w:b/>
          <w:bCs/>
          <w:lang w:val="en-US"/>
        </w:rPr>
      </w:pPr>
      <w:r w:rsidRPr="00711053">
        <w:rPr>
          <w:rFonts w:ascii="Arial Narrow" w:hAnsi="Arial Narrow"/>
          <w:b/>
          <w:bCs/>
          <w:lang w:val="en-US"/>
        </w:rPr>
        <w:lastRenderedPageBreak/>
        <w:t>THE GOOD, THE BAD, AND THE UGLY OF ROE</w:t>
      </w:r>
    </w:p>
    <w:p w14:paraId="73FD5492" w14:textId="77777777" w:rsidR="00711053" w:rsidRPr="00887675" w:rsidRDefault="00711053" w:rsidP="00887675">
      <w:pPr>
        <w:rPr>
          <w:rFonts w:ascii="Arial Narrow" w:hAnsi="Arial Narrow"/>
          <w:lang w:val="en-US"/>
        </w:rPr>
      </w:pPr>
    </w:p>
    <w:p w14:paraId="6992A0D2" w14:textId="77777777" w:rsidR="00887675" w:rsidRDefault="00887675" w:rsidP="00887675">
      <w:pPr>
        <w:rPr>
          <w:rFonts w:ascii="Arial Narrow" w:hAnsi="Arial Narrow"/>
          <w:lang w:val="en-US"/>
        </w:rPr>
      </w:pPr>
      <w:r w:rsidRPr="00887675">
        <w:rPr>
          <w:rFonts w:ascii="Arial Narrow" w:hAnsi="Arial Narrow"/>
          <w:lang w:val="en-US"/>
        </w:rPr>
        <w:t>Now that we’ve seen both ends of the ROE spectrum, let’s get a bit more specific about what makes a good or bad ROE.</w:t>
      </w:r>
    </w:p>
    <w:p w14:paraId="4C540A1D" w14:textId="77777777" w:rsidR="00A775E1" w:rsidRDefault="00A775E1" w:rsidP="00887675">
      <w:pPr>
        <w:rPr>
          <w:rFonts w:ascii="Arial Narrow" w:hAnsi="Arial Narrow"/>
          <w:lang w:val="en-US"/>
        </w:rPr>
      </w:pPr>
    </w:p>
    <w:p w14:paraId="6BDF6729" w14:textId="3DF0FA90" w:rsidR="00A775E1" w:rsidRPr="00887675" w:rsidRDefault="00A775E1" w:rsidP="00A775E1">
      <w:pPr>
        <w:jc w:val="center"/>
        <w:rPr>
          <w:rFonts w:ascii="Arial Narrow" w:hAnsi="Arial Narrow"/>
          <w:lang w:val="en-US"/>
        </w:rPr>
      </w:pPr>
      <w:r>
        <w:rPr>
          <w:rFonts w:ascii="Arial Narrow" w:hAnsi="Arial Narrow"/>
          <w:noProof/>
          <w:lang w:val="en-US"/>
        </w:rPr>
        <w:drawing>
          <wp:inline distT="0" distB="0" distL="0" distR="0" wp14:anchorId="60C94073" wp14:editId="0635979B">
            <wp:extent cx="5756910" cy="4319270"/>
            <wp:effectExtent l="0" t="0" r="0" b="0"/>
            <wp:docPr id="43839927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99271" name="Image 4383992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7456" cy="4319680"/>
                    </a:xfrm>
                    <a:prstGeom prst="rect">
                      <a:avLst/>
                    </a:prstGeom>
                  </pic:spPr>
                </pic:pic>
              </a:graphicData>
            </a:graphic>
          </wp:inline>
        </w:drawing>
      </w:r>
    </w:p>
    <w:p w14:paraId="39307C2B" w14:textId="77777777" w:rsidR="00887675" w:rsidRPr="00887675" w:rsidRDefault="00887675" w:rsidP="00887675">
      <w:pPr>
        <w:rPr>
          <w:rFonts w:ascii="Arial Narrow" w:hAnsi="Arial Narrow"/>
          <w:lang w:val="en-US"/>
        </w:rPr>
      </w:pPr>
    </w:p>
    <w:p w14:paraId="64EB3D1E" w14:textId="77777777" w:rsidR="00711053" w:rsidRDefault="00711053" w:rsidP="00887675">
      <w:pPr>
        <w:rPr>
          <w:rFonts w:ascii="Arial Narrow" w:hAnsi="Arial Narrow"/>
          <w:b/>
          <w:bCs/>
          <w:lang w:val="en-US"/>
        </w:rPr>
      </w:pPr>
    </w:p>
    <w:p w14:paraId="14185C55" w14:textId="58A24984" w:rsidR="00887675" w:rsidRPr="00711053" w:rsidRDefault="00887675" w:rsidP="00887675">
      <w:pPr>
        <w:rPr>
          <w:rFonts w:ascii="Arial Narrow" w:hAnsi="Arial Narrow"/>
          <w:b/>
          <w:bCs/>
          <w:i/>
          <w:iCs/>
          <w:lang w:val="en-US"/>
        </w:rPr>
      </w:pPr>
      <w:r w:rsidRPr="00711053">
        <w:rPr>
          <w:rFonts w:ascii="Arial Narrow" w:hAnsi="Arial Narrow"/>
          <w:b/>
          <w:bCs/>
          <w:i/>
          <w:iCs/>
          <w:lang w:val="en-US"/>
        </w:rPr>
        <w:t>THE GOOD</w:t>
      </w:r>
    </w:p>
    <w:p w14:paraId="748624AD" w14:textId="77777777" w:rsidR="00711053" w:rsidRDefault="00711053" w:rsidP="00887675">
      <w:pPr>
        <w:rPr>
          <w:rFonts w:ascii="Arial Narrow" w:hAnsi="Arial Narrow"/>
          <w:lang w:val="en-US"/>
        </w:rPr>
      </w:pPr>
    </w:p>
    <w:p w14:paraId="339D7E16" w14:textId="1F055B64" w:rsidR="00887675" w:rsidRPr="00887675" w:rsidRDefault="00887675" w:rsidP="00887675">
      <w:pPr>
        <w:rPr>
          <w:rFonts w:ascii="Arial Narrow" w:hAnsi="Arial Narrow"/>
          <w:lang w:val="en-US"/>
        </w:rPr>
      </w:pPr>
      <w:r w:rsidRPr="00887675">
        <w:rPr>
          <w:rFonts w:ascii="Arial Narrow" w:hAnsi="Arial Narrow"/>
          <w:lang w:val="en-US"/>
        </w:rPr>
        <w:t>A high ROE, like Apple’s, typically indicates that a company is making efficient use of its equity to generate profits. This could mean they have strong profit margins, a competitive advantage, or simply better management. High ROE companies are often more appealing to investors because they can deliver returns without needing a ton of new investments or debt.</w:t>
      </w:r>
      <w:r w:rsidR="00711053">
        <w:rPr>
          <w:rFonts w:ascii="Arial Narrow" w:hAnsi="Arial Narrow"/>
          <w:lang w:val="en-US"/>
        </w:rPr>
        <w:t xml:space="preserve"> </w:t>
      </w:r>
      <w:r w:rsidRPr="00887675">
        <w:rPr>
          <w:rFonts w:ascii="Arial Narrow" w:hAnsi="Arial Narrow"/>
          <w:lang w:val="en-US"/>
        </w:rPr>
        <w:t>But remember, a super-high ROE isn’t always sunshine and rainbows. It’s important to check whether the ROE is sustainable. If it’s inflated due to excessive borrowing, as with some companies, that could spell trouble down the line.</w:t>
      </w:r>
    </w:p>
    <w:p w14:paraId="3BFADF05" w14:textId="77777777" w:rsidR="00887675" w:rsidRPr="00887675" w:rsidRDefault="00887675" w:rsidP="00887675">
      <w:pPr>
        <w:rPr>
          <w:rFonts w:ascii="Arial Narrow" w:hAnsi="Arial Narrow"/>
          <w:lang w:val="en-US"/>
        </w:rPr>
      </w:pPr>
    </w:p>
    <w:p w14:paraId="224A922B" w14:textId="77777777" w:rsidR="00887675" w:rsidRPr="00711053" w:rsidRDefault="00887675" w:rsidP="00887675">
      <w:pPr>
        <w:rPr>
          <w:rFonts w:ascii="Arial Narrow" w:hAnsi="Arial Narrow"/>
          <w:b/>
          <w:bCs/>
          <w:i/>
          <w:iCs/>
          <w:lang w:val="en-US"/>
        </w:rPr>
      </w:pPr>
      <w:r w:rsidRPr="00711053">
        <w:rPr>
          <w:rFonts w:ascii="Arial Narrow" w:hAnsi="Arial Narrow"/>
          <w:b/>
          <w:bCs/>
          <w:i/>
          <w:iCs/>
          <w:lang w:val="en-US"/>
        </w:rPr>
        <w:t>THE BAD</w:t>
      </w:r>
    </w:p>
    <w:p w14:paraId="47ED7019" w14:textId="77777777" w:rsidR="00711053" w:rsidRDefault="00711053" w:rsidP="00887675">
      <w:pPr>
        <w:rPr>
          <w:rFonts w:ascii="Arial Narrow" w:hAnsi="Arial Narrow"/>
          <w:lang w:val="en-US"/>
        </w:rPr>
      </w:pPr>
    </w:p>
    <w:p w14:paraId="7CC1AE7E" w14:textId="3C5FF1D9" w:rsidR="00887675" w:rsidRPr="00887675" w:rsidRDefault="00887675" w:rsidP="00887675">
      <w:pPr>
        <w:rPr>
          <w:rFonts w:ascii="Arial Narrow" w:hAnsi="Arial Narrow"/>
          <w:lang w:val="en-US"/>
        </w:rPr>
      </w:pPr>
      <w:r w:rsidRPr="00887675">
        <w:rPr>
          <w:rFonts w:ascii="Arial Narrow" w:hAnsi="Arial Narrow"/>
          <w:lang w:val="en-US"/>
        </w:rPr>
        <w:t>A low ROE, on the other hand, signals potential issues. If a company’s ROE is consistently underperforming relative to its peers, it might be struggling to use its resources efficiently. For instance, AT&amp;T’s ROE isn’t just lower than the tech giants—it’s also underperforming compared to other companies in the telecommunications sector. This suggests internal issues, like poor capital management or slow growth prospects.</w:t>
      </w:r>
      <w:r w:rsidR="00711053">
        <w:rPr>
          <w:rFonts w:ascii="Arial Narrow" w:hAnsi="Arial Narrow"/>
          <w:lang w:val="en-US"/>
        </w:rPr>
        <w:t xml:space="preserve"> </w:t>
      </w:r>
      <w:r w:rsidRPr="00887675">
        <w:rPr>
          <w:rFonts w:ascii="Arial Narrow" w:hAnsi="Arial Narrow"/>
          <w:lang w:val="en-US"/>
        </w:rPr>
        <w:t>Low ROE can also be a red flag if a company is stuck in a cycle of borrowing heavily to stay afloat. Remember, ROE doesn’t take debt into account directly, so a company could have an artificially low ROE simply because it’s overwhelmed by debt.</w:t>
      </w:r>
    </w:p>
    <w:p w14:paraId="2D500432" w14:textId="77777777" w:rsidR="00887675" w:rsidRPr="00887675" w:rsidRDefault="00887675" w:rsidP="00887675">
      <w:pPr>
        <w:rPr>
          <w:rFonts w:ascii="Arial Narrow" w:hAnsi="Arial Narrow"/>
          <w:lang w:val="en-US"/>
        </w:rPr>
      </w:pPr>
    </w:p>
    <w:p w14:paraId="71BDC5B5" w14:textId="77777777" w:rsidR="00887675" w:rsidRDefault="00887675" w:rsidP="00887675">
      <w:pPr>
        <w:rPr>
          <w:rFonts w:ascii="Arial Narrow" w:hAnsi="Arial Narrow"/>
          <w:b/>
          <w:bCs/>
          <w:i/>
          <w:iCs/>
          <w:lang w:val="en-US"/>
        </w:rPr>
      </w:pPr>
      <w:r w:rsidRPr="00711053">
        <w:rPr>
          <w:rFonts w:ascii="Arial Narrow" w:hAnsi="Arial Narrow"/>
          <w:b/>
          <w:bCs/>
          <w:i/>
          <w:iCs/>
          <w:lang w:val="en-US"/>
        </w:rPr>
        <w:lastRenderedPageBreak/>
        <w:t>THE UGLY</w:t>
      </w:r>
    </w:p>
    <w:p w14:paraId="3E3960CD" w14:textId="77777777" w:rsidR="00711053" w:rsidRPr="00711053" w:rsidRDefault="00711053" w:rsidP="00887675">
      <w:pPr>
        <w:rPr>
          <w:rFonts w:ascii="Arial Narrow" w:hAnsi="Arial Narrow"/>
          <w:b/>
          <w:bCs/>
          <w:i/>
          <w:iCs/>
          <w:lang w:val="en-US"/>
        </w:rPr>
      </w:pPr>
    </w:p>
    <w:p w14:paraId="18569EE7" w14:textId="77777777" w:rsidR="00887675" w:rsidRPr="00887675" w:rsidRDefault="00887675" w:rsidP="00887675">
      <w:pPr>
        <w:rPr>
          <w:rFonts w:ascii="Arial Narrow" w:hAnsi="Arial Narrow"/>
          <w:lang w:val="en-US"/>
        </w:rPr>
      </w:pPr>
      <w:r w:rsidRPr="00887675">
        <w:rPr>
          <w:rFonts w:ascii="Arial Narrow" w:hAnsi="Arial Narrow"/>
          <w:lang w:val="en-US"/>
        </w:rPr>
        <w:t>And then there’s the worst-case scenario: negative ROE. This happens when a company is losing money, meaning its net income is negative. In this case, shareholders are effectively losing value. While negative ROE might be expected in startups or companies going through heavy growth investments, it’s generally a red flag for more established businesses.</w:t>
      </w:r>
    </w:p>
    <w:p w14:paraId="4E1AB7D8" w14:textId="77777777" w:rsidR="00887675" w:rsidRDefault="00887675" w:rsidP="00887675">
      <w:pPr>
        <w:rPr>
          <w:rFonts w:ascii="Arial Narrow" w:hAnsi="Arial Narrow"/>
          <w:lang w:val="en-US"/>
        </w:rPr>
      </w:pPr>
    </w:p>
    <w:p w14:paraId="461854AB" w14:textId="77777777" w:rsidR="00711053" w:rsidRPr="00887675" w:rsidRDefault="00711053" w:rsidP="00887675">
      <w:pPr>
        <w:rPr>
          <w:rFonts w:ascii="Arial Narrow" w:hAnsi="Arial Narrow"/>
          <w:lang w:val="en-US"/>
        </w:rPr>
      </w:pPr>
    </w:p>
    <w:p w14:paraId="720BAE96" w14:textId="2E75054E" w:rsidR="00887675" w:rsidRPr="00711053" w:rsidRDefault="00887675" w:rsidP="00887675">
      <w:pPr>
        <w:rPr>
          <w:rFonts w:ascii="Arial Narrow" w:hAnsi="Arial Narrow"/>
          <w:b/>
          <w:bCs/>
          <w:lang w:val="en-US"/>
        </w:rPr>
      </w:pPr>
      <w:r w:rsidRPr="00711053">
        <w:rPr>
          <w:rFonts w:ascii="Arial Narrow" w:hAnsi="Arial Narrow"/>
          <w:b/>
          <w:bCs/>
          <w:lang w:val="en-US"/>
        </w:rPr>
        <w:t>THE ROE SWEET SPOT: HOW TO USE IT WISELY</w:t>
      </w:r>
    </w:p>
    <w:p w14:paraId="41D71547" w14:textId="77777777" w:rsidR="00711053" w:rsidRDefault="00711053" w:rsidP="00887675">
      <w:pPr>
        <w:rPr>
          <w:rFonts w:ascii="Arial Narrow" w:hAnsi="Arial Narrow"/>
          <w:lang w:val="en-US"/>
        </w:rPr>
      </w:pPr>
    </w:p>
    <w:p w14:paraId="45359785" w14:textId="2EAD1A4F" w:rsidR="00887675" w:rsidRPr="00887675" w:rsidRDefault="00887675" w:rsidP="00887675">
      <w:pPr>
        <w:rPr>
          <w:rFonts w:ascii="Arial Narrow" w:hAnsi="Arial Narrow"/>
          <w:lang w:val="en-US"/>
        </w:rPr>
      </w:pPr>
      <w:r w:rsidRPr="00887675">
        <w:rPr>
          <w:rFonts w:ascii="Arial Narrow" w:hAnsi="Arial Narrow"/>
          <w:lang w:val="en-US"/>
        </w:rPr>
        <w:t>As with any financial metric, the magic happens when you know how to use ROE properly. Here are a few tips to get the most out of it:</w:t>
      </w:r>
    </w:p>
    <w:p w14:paraId="340299DE" w14:textId="77777777" w:rsidR="00887675" w:rsidRPr="00887675" w:rsidRDefault="00887675" w:rsidP="00887675">
      <w:pPr>
        <w:rPr>
          <w:rFonts w:ascii="Arial Narrow" w:hAnsi="Arial Narrow"/>
          <w:lang w:val="en-US"/>
        </w:rPr>
      </w:pPr>
    </w:p>
    <w:p w14:paraId="62D5973D" w14:textId="78AF5C0E" w:rsidR="00887675" w:rsidRDefault="00887675" w:rsidP="00711053">
      <w:pPr>
        <w:pStyle w:val="Paragraphedeliste"/>
        <w:numPr>
          <w:ilvl w:val="0"/>
          <w:numId w:val="14"/>
        </w:numPr>
        <w:rPr>
          <w:rFonts w:ascii="Arial Narrow" w:hAnsi="Arial Narrow"/>
          <w:lang w:val="en-US"/>
        </w:rPr>
      </w:pPr>
      <w:r w:rsidRPr="00711053">
        <w:rPr>
          <w:rFonts w:ascii="Arial Narrow" w:hAnsi="Arial Narrow"/>
          <w:lang w:val="en-US"/>
        </w:rPr>
        <w:t xml:space="preserve">Compare within industries: Always compare a company’s ROE to others in the same sector. What’s considered a good </w:t>
      </w:r>
      <w:r w:rsidRPr="00DC5130">
        <w:rPr>
          <w:rFonts w:ascii="Arial Narrow" w:hAnsi="Arial Narrow"/>
          <w:lang w:val="en-US"/>
        </w:rPr>
        <w:t>ROE in tech might be different from what’s acceptable in energy or utilities</w:t>
      </w:r>
      <w:r w:rsidR="00711053" w:rsidRPr="00DC5130">
        <w:rPr>
          <w:rFonts w:ascii="Arial Narrow" w:hAnsi="Arial Narrow"/>
          <w:lang w:val="en-US"/>
        </w:rPr>
        <w:t xml:space="preserve"> (see graph below</w:t>
      </w:r>
      <w:r w:rsidR="00DC5130" w:rsidRPr="00DC5130">
        <w:rPr>
          <w:rFonts w:ascii="Arial Narrow" w:hAnsi="Arial Narrow"/>
          <w:lang w:val="en-US"/>
        </w:rPr>
        <w:t xml:space="preserve"> with the contrast with companies like Dell and HP with negative ROE, indicating that they are losing money or have excessive</w:t>
      </w:r>
      <w:r w:rsidR="00DC5130">
        <w:rPr>
          <w:rFonts w:ascii="Arial Narrow" w:hAnsi="Arial Narrow"/>
          <w:lang w:val="en-US"/>
        </w:rPr>
        <w:t xml:space="preserve"> debt compared to their equity</w:t>
      </w:r>
      <w:r w:rsidR="00711053">
        <w:rPr>
          <w:rFonts w:ascii="Arial Narrow" w:hAnsi="Arial Narrow"/>
          <w:lang w:val="en-US"/>
        </w:rPr>
        <w:t>)</w:t>
      </w:r>
      <w:r w:rsidRPr="00711053">
        <w:rPr>
          <w:rFonts w:ascii="Arial Narrow" w:hAnsi="Arial Narrow"/>
          <w:lang w:val="en-US"/>
        </w:rPr>
        <w:t>.</w:t>
      </w:r>
    </w:p>
    <w:p w14:paraId="676EDE80" w14:textId="77777777" w:rsidR="000970E5" w:rsidRDefault="000970E5" w:rsidP="000970E5">
      <w:pPr>
        <w:pStyle w:val="Paragraphedeliste"/>
        <w:rPr>
          <w:rFonts w:ascii="Arial Narrow" w:hAnsi="Arial Narrow"/>
          <w:lang w:val="en-US"/>
        </w:rPr>
      </w:pPr>
    </w:p>
    <w:p w14:paraId="07AC133D" w14:textId="4AD0CBF6" w:rsidR="00DC5130" w:rsidRDefault="00DC5130" w:rsidP="00DC5130">
      <w:pPr>
        <w:jc w:val="center"/>
      </w:pPr>
      <w:r>
        <w:fldChar w:fldCharType="begin"/>
      </w:r>
      <w:r>
        <w:instrText xml:space="preserve"> INCLUDEPICTURE "https://files.oaiusercontent.com/file-9JoH93ajcJtWp2SKQDXcvXW2?se=2024-10-06T12%3A34%3A51Z&amp;sp=r&amp;sv=2024-08-04&amp;sr=b&amp;rscc=max-age%3D299%2C%20immutable%2C%20private&amp;rscd=attachment%3B%20filename%3DCapture%2520d%25E2%2580%2599e%25CC%2581cran%25202024-10-06%2520a%25CC%2580%252014.29.30.png&amp;sig=XQFDguCmYyBRbVFzXzfUs6J9e%2BOHpmURYqqJNeafpyo%3D" \* MERGEFORMATINET </w:instrText>
      </w:r>
      <w:r>
        <w:fldChar w:fldCharType="separate"/>
      </w:r>
      <w:r>
        <w:rPr>
          <w:noProof/>
        </w:rPr>
        <w:drawing>
          <wp:inline distT="0" distB="0" distL="0" distR="0" wp14:anchorId="354B8717" wp14:editId="60A15E62">
            <wp:extent cx="5756910" cy="1838325"/>
            <wp:effectExtent l="0" t="0" r="0" b="3175"/>
            <wp:docPr id="1866215490" name="Image 4" descr="Image charg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chargé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809" cy="1839570"/>
                    </a:xfrm>
                    <a:prstGeom prst="rect">
                      <a:avLst/>
                    </a:prstGeom>
                    <a:noFill/>
                    <a:ln>
                      <a:noFill/>
                    </a:ln>
                  </pic:spPr>
                </pic:pic>
              </a:graphicData>
            </a:graphic>
          </wp:inline>
        </w:drawing>
      </w:r>
      <w:r>
        <w:fldChar w:fldCharType="end"/>
      </w:r>
    </w:p>
    <w:p w14:paraId="2D2E77FE" w14:textId="77777777" w:rsidR="00DC5130" w:rsidRPr="00DC5130" w:rsidRDefault="00DC5130" w:rsidP="00DC5130">
      <w:pPr>
        <w:jc w:val="center"/>
        <w:rPr>
          <w:rFonts w:ascii="Arial Narrow" w:hAnsi="Arial Narrow"/>
          <w:lang w:val="en-US"/>
        </w:rPr>
      </w:pPr>
    </w:p>
    <w:p w14:paraId="3717E4D7" w14:textId="5EAF1709" w:rsidR="00887675" w:rsidRPr="00711053" w:rsidRDefault="00887675" w:rsidP="00711053">
      <w:pPr>
        <w:pStyle w:val="Paragraphedeliste"/>
        <w:numPr>
          <w:ilvl w:val="0"/>
          <w:numId w:val="14"/>
        </w:numPr>
        <w:rPr>
          <w:rFonts w:ascii="Arial Narrow" w:hAnsi="Arial Narrow"/>
          <w:lang w:val="en-US"/>
        </w:rPr>
      </w:pPr>
      <w:r w:rsidRPr="00711053">
        <w:rPr>
          <w:rFonts w:ascii="Arial Narrow" w:hAnsi="Arial Narrow"/>
          <w:lang w:val="en-US"/>
        </w:rPr>
        <w:t>Look at trends: Don’t just focus on the current ROE—look at how it has evolved over time. A rising ROE is usually a positive sign, while a declining one might warrant further investigation.</w:t>
      </w:r>
    </w:p>
    <w:p w14:paraId="2AB2D23D" w14:textId="788D3AB9" w:rsidR="00887675" w:rsidRPr="00711053" w:rsidRDefault="00887675" w:rsidP="00711053">
      <w:pPr>
        <w:pStyle w:val="Paragraphedeliste"/>
        <w:numPr>
          <w:ilvl w:val="0"/>
          <w:numId w:val="14"/>
        </w:numPr>
        <w:rPr>
          <w:rFonts w:ascii="Arial Narrow" w:hAnsi="Arial Narrow"/>
          <w:lang w:val="en-US"/>
        </w:rPr>
      </w:pPr>
      <w:r w:rsidRPr="00711053">
        <w:rPr>
          <w:rFonts w:ascii="Arial Narrow" w:hAnsi="Arial Narrow"/>
          <w:lang w:val="en-US"/>
        </w:rPr>
        <w:t>Check for debt: High debt levels can artificially inflate ROE, so always check the company’s debt-to-equity ratio to see if it’s taking on too much risk.</w:t>
      </w:r>
    </w:p>
    <w:p w14:paraId="2938489A" w14:textId="2409B5F0" w:rsidR="00887675" w:rsidRDefault="00887675" w:rsidP="00711053">
      <w:pPr>
        <w:pStyle w:val="Paragraphedeliste"/>
        <w:numPr>
          <w:ilvl w:val="0"/>
          <w:numId w:val="14"/>
        </w:numPr>
        <w:rPr>
          <w:rFonts w:ascii="Arial Narrow" w:hAnsi="Arial Narrow"/>
          <w:lang w:val="en-US"/>
        </w:rPr>
      </w:pPr>
      <w:r w:rsidRPr="00711053">
        <w:rPr>
          <w:rFonts w:ascii="Arial Narrow" w:hAnsi="Arial Narrow"/>
          <w:lang w:val="en-US"/>
        </w:rPr>
        <w:t>Combine with other metrics: ROE is great, but it’s just one piece of the puzzle. Pair it with metrics like Return on Assets (ROA) and Return on Invested Capital (ROIC) to get a fuller picture of the company’s efficiency.</w:t>
      </w:r>
    </w:p>
    <w:p w14:paraId="061FFF55" w14:textId="77777777" w:rsidR="00711053" w:rsidRDefault="00711053" w:rsidP="00711053">
      <w:pPr>
        <w:rPr>
          <w:rFonts w:ascii="Arial Narrow" w:hAnsi="Arial Narrow"/>
          <w:lang w:val="en-US"/>
        </w:rPr>
      </w:pPr>
    </w:p>
    <w:p w14:paraId="7CF5224E" w14:textId="77777777" w:rsidR="00A775E1" w:rsidRDefault="00A775E1" w:rsidP="00711053">
      <w:pPr>
        <w:rPr>
          <w:rFonts w:ascii="Arial Narrow" w:hAnsi="Arial Narrow"/>
          <w:lang w:val="en-US"/>
        </w:rPr>
      </w:pPr>
    </w:p>
    <w:p w14:paraId="0F781C94" w14:textId="77777777" w:rsidR="00A775E1" w:rsidRDefault="00A775E1" w:rsidP="00711053">
      <w:pPr>
        <w:rPr>
          <w:rFonts w:ascii="Arial Narrow" w:hAnsi="Arial Narrow"/>
          <w:lang w:val="en-US"/>
        </w:rPr>
      </w:pPr>
    </w:p>
    <w:p w14:paraId="5B6C6652" w14:textId="77777777" w:rsidR="00A775E1" w:rsidRDefault="00A775E1" w:rsidP="00711053">
      <w:pPr>
        <w:rPr>
          <w:rFonts w:ascii="Arial Narrow" w:hAnsi="Arial Narrow"/>
          <w:lang w:val="en-US"/>
        </w:rPr>
      </w:pPr>
    </w:p>
    <w:p w14:paraId="1B88F522" w14:textId="77777777" w:rsidR="00A775E1" w:rsidRDefault="00A775E1" w:rsidP="00711053">
      <w:pPr>
        <w:rPr>
          <w:rFonts w:ascii="Arial Narrow" w:hAnsi="Arial Narrow"/>
          <w:lang w:val="en-US"/>
        </w:rPr>
      </w:pPr>
    </w:p>
    <w:p w14:paraId="1B9ECDA5" w14:textId="77777777" w:rsidR="00A775E1" w:rsidRDefault="00A775E1" w:rsidP="00711053">
      <w:pPr>
        <w:rPr>
          <w:rFonts w:ascii="Arial Narrow" w:hAnsi="Arial Narrow"/>
          <w:lang w:val="en-US"/>
        </w:rPr>
      </w:pPr>
    </w:p>
    <w:p w14:paraId="6A85F384" w14:textId="77777777" w:rsidR="00A775E1" w:rsidRDefault="00A775E1" w:rsidP="00711053">
      <w:pPr>
        <w:rPr>
          <w:rFonts w:ascii="Arial Narrow" w:hAnsi="Arial Narrow"/>
          <w:lang w:val="en-US"/>
        </w:rPr>
      </w:pPr>
    </w:p>
    <w:p w14:paraId="27EDC6D3" w14:textId="77777777" w:rsidR="00A775E1" w:rsidRDefault="00A775E1" w:rsidP="00711053">
      <w:pPr>
        <w:rPr>
          <w:rFonts w:ascii="Arial Narrow" w:hAnsi="Arial Narrow"/>
          <w:lang w:val="en-US"/>
        </w:rPr>
      </w:pPr>
    </w:p>
    <w:p w14:paraId="32F001B4" w14:textId="77777777" w:rsidR="00A775E1" w:rsidRDefault="00A775E1" w:rsidP="00711053">
      <w:pPr>
        <w:rPr>
          <w:rFonts w:ascii="Arial Narrow" w:hAnsi="Arial Narrow"/>
          <w:lang w:val="en-US"/>
        </w:rPr>
      </w:pPr>
    </w:p>
    <w:p w14:paraId="51380BA8" w14:textId="77777777" w:rsidR="00A775E1" w:rsidRDefault="00A775E1" w:rsidP="00711053">
      <w:pPr>
        <w:rPr>
          <w:rFonts w:ascii="Arial Narrow" w:hAnsi="Arial Narrow"/>
          <w:lang w:val="en-US"/>
        </w:rPr>
      </w:pPr>
    </w:p>
    <w:p w14:paraId="75F3D9D6" w14:textId="77777777" w:rsidR="00A775E1" w:rsidRDefault="00A775E1" w:rsidP="00711053">
      <w:pPr>
        <w:rPr>
          <w:rFonts w:ascii="Arial Narrow" w:hAnsi="Arial Narrow"/>
          <w:lang w:val="en-US"/>
        </w:rPr>
      </w:pPr>
    </w:p>
    <w:p w14:paraId="363F1DF9" w14:textId="77777777" w:rsidR="00A775E1" w:rsidRDefault="00A775E1" w:rsidP="00711053">
      <w:pPr>
        <w:rPr>
          <w:rFonts w:ascii="Arial Narrow" w:hAnsi="Arial Narrow"/>
          <w:lang w:val="en-US"/>
        </w:rPr>
      </w:pPr>
    </w:p>
    <w:p w14:paraId="3E510124" w14:textId="77777777" w:rsidR="00A775E1" w:rsidRDefault="00A775E1" w:rsidP="00711053">
      <w:pPr>
        <w:rPr>
          <w:rFonts w:ascii="Arial Narrow" w:hAnsi="Arial Narrow"/>
          <w:lang w:val="en-US"/>
        </w:rPr>
      </w:pPr>
    </w:p>
    <w:p w14:paraId="6ABC3BCF" w14:textId="77777777" w:rsidR="000970E5" w:rsidRDefault="000970E5" w:rsidP="00887675">
      <w:pPr>
        <w:rPr>
          <w:rFonts w:ascii="Arial Narrow" w:hAnsi="Arial Narrow"/>
          <w:lang w:val="en-US"/>
        </w:rPr>
      </w:pPr>
    </w:p>
    <w:p w14:paraId="6F45F8A2" w14:textId="235ABAC7" w:rsidR="00887675" w:rsidRDefault="00887675" w:rsidP="00887675">
      <w:pPr>
        <w:rPr>
          <w:rFonts w:ascii="Arial Narrow" w:hAnsi="Arial Narrow"/>
          <w:b/>
          <w:bCs/>
          <w:lang w:val="en-US"/>
        </w:rPr>
      </w:pPr>
      <w:r w:rsidRPr="00711053">
        <w:rPr>
          <w:rFonts w:ascii="Arial Narrow" w:hAnsi="Arial Narrow"/>
          <w:b/>
          <w:bCs/>
          <w:lang w:val="en-US"/>
        </w:rPr>
        <w:lastRenderedPageBreak/>
        <w:t>FINAL THOUGHTS: ROE IS JUST THE BEGINNING—KEEP LEARNING</w:t>
      </w:r>
    </w:p>
    <w:p w14:paraId="31B52A82" w14:textId="77777777" w:rsidR="00A775E1" w:rsidRPr="00711053" w:rsidRDefault="00A775E1" w:rsidP="00887675">
      <w:pPr>
        <w:rPr>
          <w:rFonts w:ascii="Arial Narrow" w:hAnsi="Arial Narrow"/>
          <w:b/>
          <w:bCs/>
          <w:lang w:val="en-US"/>
        </w:rPr>
      </w:pPr>
    </w:p>
    <w:p w14:paraId="3817123E" w14:textId="77777777" w:rsidR="00711053" w:rsidRDefault="00711053" w:rsidP="00887675">
      <w:pPr>
        <w:rPr>
          <w:rFonts w:ascii="Arial Narrow" w:hAnsi="Arial Narrow"/>
          <w:lang w:val="en-US"/>
        </w:rPr>
      </w:pPr>
    </w:p>
    <w:p w14:paraId="519CED62" w14:textId="1BA8F3DD" w:rsidR="00A775E1" w:rsidRDefault="00A775E1" w:rsidP="00887675">
      <w:pPr>
        <w:rPr>
          <w:rFonts w:ascii="Arial Narrow" w:hAnsi="Arial Narrow"/>
          <w:lang w:val="en-US"/>
        </w:rPr>
      </w:pPr>
      <w:r>
        <w:rPr>
          <w:rFonts w:ascii="Arial Narrow" w:hAnsi="Arial Narrow"/>
          <w:noProof/>
          <w:lang w:val="en-US"/>
        </w:rPr>
        <w:drawing>
          <wp:inline distT="0" distB="0" distL="0" distR="0" wp14:anchorId="3BA03755" wp14:editId="5CA377BE">
            <wp:extent cx="5756910" cy="4033520"/>
            <wp:effectExtent l="0" t="0" r="0" b="5080"/>
            <wp:docPr id="22850514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05142" name="Image 2285051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4033520"/>
                    </a:xfrm>
                    <a:prstGeom prst="rect">
                      <a:avLst/>
                    </a:prstGeom>
                  </pic:spPr>
                </pic:pic>
              </a:graphicData>
            </a:graphic>
          </wp:inline>
        </w:drawing>
      </w:r>
    </w:p>
    <w:p w14:paraId="4CDD1823" w14:textId="77777777" w:rsidR="00A775E1" w:rsidRDefault="00A775E1" w:rsidP="00887675">
      <w:pPr>
        <w:rPr>
          <w:rFonts w:ascii="Arial Narrow" w:hAnsi="Arial Narrow"/>
          <w:lang w:val="en-US"/>
        </w:rPr>
      </w:pPr>
    </w:p>
    <w:p w14:paraId="6A6063FF" w14:textId="55D06DF4" w:rsidR="00887675" w:rsidRPr="00887675" w:rsidRDefault="00887675" w:rsidP="00887675">
      <w:pPr>
        <w:rPr>
          <w:rFonts w:ascii="Arial Narrow" w:hAnsi="Arial Narrow"/>
          <w:lang w:val="en-US"/>
        </w:rPr>
      </w:pPr>
      <w:r w:rsidRPr="00887675">
        <w:rPr>
          <w:rFonts w:ascii="Arial Narrow" w:hAnsi="Arial Narrow"/>
          <w:lang w:val="en-US"/>
        </w:rPr>
        <w:t>ROE is undoubtedly a powerful tool for any investor, offering a solid snapshot of how well a company uses its money to generate profits. But here’s the thing: ROE is just one piece of the investment puzzle. To truly master the game, you need to understand how different metrics work together. You can’t rely on ROE alone to make investment decisions. For instance, how does a company’s debt impact its overall financial health? What about its cash flow?</w:t>
      </w:r>
    </w:p>
    <w:p w14:paraId="0EE9254D" w14:textId="77777777" w:rsidR="00887675" w:rsidRPr="00887675" w:rsidRDefault="00887675" w:rsidP="00887675">
      <w:pPr>
        <w:rPr>
          <w:rFonts w:ascii="Arial Narrow" w:hAnsi="Arial Narrow"/>
          <w:lang w:val="en-US"/>
        </w:rPr>
      </w:pPr>
    </w:p>
    <w:p w14:paraId="0FC95694" w14:textId="0A467B56" w:rsidR="00887675" w:rsidRPr="00E669BD" w:rsidRDefault="00887675" w:rsidP="00887675">
      <w:pPr>
        <w:rPr>
          <w:rFonts w:ascii="Arial Narrow" w:hAnsi="Arial Narrow"/>
          <w:lang w:val="en-US"/>
        </w:rPr>
      </w:pPr>
      <w:r w:rsidRPr="00887675">
        <w:rPr>
          <w:rFonts w:ascii="Arial Narrow" w:hAnsi="Arial Narrow"/>
          <w:lang w:val="en-US"/>
        </w:rPr>
        <w:t>That’s why it’s crucial to keep exploring and learning about other financial indicators, as they are all interconnected. ROE might give you the headline, but other metrics like ROA, ROIC, and debt ratios provide the context. So, stick with us, and keep reading these newsletters—because mastering one ratio is great, but understanding how they all fit together is what will give you that winning edge in the market</w:t>
      </w:r>
      <w:r w:rsidR="002B73C6">
        <w:rPr>
          <w:rFonts w:ascii="Arial Narrow" w:hAnsi="Arial Narrow"/>
          <w:lang w:val="en-US"/>
        </w:rPr>
        <w:t>!</w:t>
      </w:r>
    </w:p>
    <w:sectPr w:rsidR="00887675" w:rsidRPr="00E669BD" w:rsidSect="006C520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245A"/>
    <w:multiLevelType w:val="hybridMultilevel"/>
    <w:tmpl w:val="445628A4"/>
    <w:lvl w:ilvl="0" w:tplc="A24CDB86">
      <w:start w:val="5"/>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8B0011"/>
    <w:multiLevelType w:val="hybridMultilevel"/>
    <w:tmpl w:val="1CF084AC"/>
    <w:lvl w:ilvl="0" w:tplc="502652A6">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586B2C"/>
    <w:multiLevelType w:val="hybridMultilevel"/>
    <w:tmpl w:val="F478262C"/>
    <w:lvl w:ilvl="0" w:tplc="233E61D8">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2932D5"/>
    <w:multiLevelType w:val="hybridMultilevel"/>
    <w:tmpl w:val="56A2E2E0"/>
    <w:lvl w:ilvl="0" w:tplc="22DCB85C">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342C20"/>
    <w:multiLevelType w:val="hybridMultilevel"/>
    <w:tmpl w:val="7E18E4AE"/>
    <w:lvl w:ilvl="0" w:tplc="6414D802">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9F20CFE"/>
    <w:multiLevelType w:val="hybridMultilevel"/>
    <w:tmpl w:val="E5F22DAE"/>
    <w:lvl w:ilvl="0" w:tplc="F9FA9BC2">
      <w:start w:val="2"/>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611672"/>
    <w:multiLevelType w:val="hybridMultilevel"/>
    <w:tmpl w:val="6652E38A"/>
    <w:lvl w:ilvl="0" w:tplc="37A048A6">
      <w:start w:val="3"/>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3E5CD6"/>
    <w:multiLevelType w:val="hybridMultilevel"/>
    <w:tmpl w:val="B6903F1E"/>
    <w:lvl w:ilvl="0" w:tplc="D9AC3C6E">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8D163A9"/>
    <w:multiLevelType w:val="hybridMultilevel"/>
    <w:tmpl w:val="FAE602EC"/>
    <w:lvl w:ilvl="0" w:tplc="007252EE">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940BA7"/>
    <w:multiLevelType w:val="hybridMultilevel"/>
    <w:tmpl w:val="A6F447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D594FA9"/>
    <w:multiLevelType w:val="hybridMultilevel"/>
    <w:tmpl w:val="6C64CF2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E7D1223"/>
    <w:multiLevelType w:val="hybridMultilevel"/>
    <w:tmpl w:val="8162F9C4"/>
    <w:lvl w:ilvl="0" w:tplc="E5D22BA4">
      <w:start w:val="4"/>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FD76BE8"/>
    <w:multiLevelType w:val="multilevel"/>
    <w:tmpl w:val="D106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EA2A1A"/>
    <w:multiLevelType w:val="hybridMultilevel"/>
    <w:tmpl w:val="D47C390E"/>
    <w:lvl w:ilvl="0" w:tplc="B51CA678">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33951385">
    <w:abstractNumId w:val="12"/>
  </w:num>
  <w:num w:numId="2" w16cid:durableId="19162042">
    <w:abstractNumId w:val="6"/>
  </w:num>
  <w:num w:numId="3" w16cid:durableId="145322219">
    <w:abstractNumId w:val="4"/>
  </w:num>
  <w:num w:numId="4" w16cid:durableId="1559634251">
    <w:abstractNumId w:val="7"/>
  </w:num>
  <w:num w:numId="5" w16cid:durableId="907695276">
    <w:abstractNumId w:val="2"/>
  </w:num>
  <w:num w:numId="6" w16cid:durableId="1842158696">
    <w:abstractNumId w:val="11"/>
  </w:num>
  <w:num w:numId="7" w16cid:durableId="1414281719">
    <w:abstractNumId w:val="8"/>
  </w:num>
  <w:num w:numId="8" w16cid:durableId="385643634">
    <w:abstractNumId w:val="5"/>
  </w:num>
  <w:num w:numId="9" w16cid:durableId="1527520565">
    <w:abstractNumId w:val="1"/>
  </w:num>
  <w:num w:numId="10" w16cid:durableId="862592545">
    <w:abstractNumId w:val="3"/>
  </w:num>
  <w:num w:numId="11" w16cid:durableId="1308168247">
    <w:abstractNumId w:val="9"/>
  </w:num>
  <w:num w:numId="12" w16cid:durableId="1275016239">
    <w:abstractNumId w:val="10"/>
  </w:num>
  <w:num w:numId="13" w16cid:durableId="505635014">
    <w:abstractNumId w:val="13"/>
  </w:num>
  <w:num w:numId="14" w16cid:durableId="1374159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CFB"/>
    <w:rsid w:val="0001202E"/>
    <w:rsid w:val="00030B94"/>
    <w:rsid w:val="00031C78"/>
    <w:rsid w:val="00035637"/>
    <w:rsid w:val="00035E03"/>
    <w:rsid w:val="00043D3A"/>
    <w:rsid w:val="000516ED"/>
    <w:rsid w:val="000534DF"/>
    <w:rsid w:val="0006477C"/>
    <w:rsid w:val="00071F61"/>
    <w:rsid w:val="000726D5"/>
    <w:rsid w:val="00075879"/>
    <w:rsid w:val="000856C4"/>
    <w:rsid w:val="000970E5"/>
    <w:rsid w:val="000A0DA1"/>
    <w:rsid w:val="000A50E0"/>
    <w:rsid w:val="000B4FB7"/>
    <w:rsid w:val="000B65B2"/>
    <w:rsid w:val="000C20F4"/>
    <w:rsid w:val="000E3C6D"/>
    <w:rsid w:val="000E5DD2"/>
    <w:rsid w:val="000E795E"/>
    <w:rsid w:val="00110D0D"/>
    <w:rsid w:val="001125DF"/>
    <w:rsid w:val="00123811"/>
    <w:rsid w:val="00133239"/>
    <w:rsid w:val="00133B13"/>
    <w:rsid w:val="00133FD2"/>
    <w:rsid w:val="00154184"/>
    <w:rsid w:val="0015462D"/>
    <w:rsid w:val="00156265"/>
    <w:rsid w:val="00172355"/>
    <w:rsid w:val="00172BC7"/>
    <w:rsid w:val="00175F41"/>
    <w:rsid w:val="0019775C"/>
    <w:rsid w:val="001A0CFB"/>
    <w:rsid w:val="001A4BF6"/>
    <w:rsid w:val="001A63B1"/>
    <w:rsid w:val="001A65E0"/>
    <w:rsid w:val="001E1451"/>
    <w:rsid w:val="001E7688"/>
    <w:rsid w:val="001F7D51"/>
    <w:rsid w:val="0020026E"/>
    <w:rsid w:val="00200DC2"/>
    <w:rsid w:val="00227360"/>
    <w:rsid w:val="0023427F"/>
    <w:rsid w:val="002415E4"/>
    <w:rsid w:val="00253586"/>
    <w:rsid w:val="00253F78"/>
    <w:rsid w:val="00255D2E"/>
    <w:rsid w:val="002569B5"/>
    <w:rsid w:val="00273006"/>
    <w:rsid w:val="00274133"/>
    <w:rsid w:val="002873E9"/>
    <w:rsid w:val="00296851"/>
    <w:rsid w:val="002A270A"/>
    <w:rsid w:val="002B73C6"/>
    <w:rsid w:val="002C5A74"/>
    <w:rsid w:val="002D0F34"/>
    <w:rsid w:val="002D0FC1"/>
    <w:rsid w:val="002D3A4C"/>
    <w:rsid w:val="002F122F"/>
    <w:rsid w:val="00304566"/>
    <w:rsid w:val="00312D1D"/>
    <w:rsid w:val="00314147"/>
    <w:rsid w:val="00331FB9"/>
    <w:rsid w:val="0034013F"/>
    <w:rsid w:val="003410B5"/>
    <w:rsid w:val="0035237F"/>
    <w:rsid w:val="003744E8"/>
    <w:rsid w:val="003A282B"/>
    <w:rsid w:val="003B6219"/>
    <w:rsid w:val="003C5268"/>
    <w:rsid w:val="003D21EB"/>
    <w:rsid w:val="003D57B6"/>
    <w:rsid w:val="003D6A0A"/>
    <w:rsid w:val="003D7F0E"/>
    <w:rsid w:val="003E0E3E"/>
    <w:rsid w:val="003E4D9B"/>
    <w:rsid w:val="003F33A6"/>
    <w:rsid w:val="003F5FCF"/>
    <w:rsid w:val="004300C9"/>
    <w:rsid w:val="0043633F"/>
    <w:rsid w:val="0044566F"/>
    <w:rsid w:val="00445BA3"/>
    <w:rsid w:val="00447651"/>
    <w:rsid w:val="004518A3"/>
    <w:rsid w:val="00453B0C"/>
    <w:rsid w:val="00455AFD"/>
    <w:rsid w:val="00456520"/>
    <w:rsid w:val="004574EE"/>
    <w:rsid w:val="00462C29"/>
    <w:rsid w:val="00485B8A"/>
    <w:rsid w:val="00491C01"/>
    <w:rsid w:val="0049299F"/>
    <w:rsid w:val="004A0995"/>
    <w:rsid w:val="004A24BB"/>
    <w:rsid w:val="004B1ABB"/>
    <w:rsid w:val="004B5984"/>
    <w:rsid w:val="004B5F7F"/>
    <w:rsid w:val="004B6379"/>
    <w:rsid w:val="004C3AF6"/>
    <w:rsid w:val="004F302B"/>
    <w:rsid w:val="0051104D"/>
    <w:rsid w:val="00513B01"/>
    <w:rsid w:val="005228BD"/>
    <w:rsid w:val="00544934"/>
    <w:rsid w:val="0056178D"/>
    <w:rsid w:val="00572A15"/>
    <w:rsid w:val="00577196"/>
    <w:rsid w:val="005863E8"/>
    <w:rsid w:val="00587DCD"/>
    <w:rsid w:val="00590936"/>
    <w:rsid w:val="00590A2C"/>
    <w:rsid w:val="005924B0"/>
    <w:rsid w:val="00594586"/>
    <w:rsid w:val="005B478E"/>
    <w:rsid w:val="005C0C6C"/>
    <w:rsid w:val="005C79E4"/>
    <w:rsid w:val="005D1EF1"/>
    <w:rsid w:val="005E0707"/>
    <w:rsid w:val="005E4253"/>
    <w:rsid w:val="005F59F2"/>
    <w:rsid w:val="00607ADC"/>
    <w:rsid w:val="00614BA2"/>
    <w:rsid w:val="00621B6D"/>
    <w:rsid w:val="006366E9"/>
    <w:rsid w:val="006433F3"/>
    <w:rsid w:val="00643635"/>
    <w:rsid w:val="006528C1"/>
    <w:rsid w:val="0066094F"/>
    <w:rsid w:val="006633DA"/>
    <w:rsid w:val="00671AF0"/>
    <w:rsid w:val="006735C6"/>
    <w:rsid w:val="00675397"/>
    <w:rsid w:val="00675610"/>
    <w:rsid w:val="00677689"/>
    <w:rsid w:val="00680D60"/>
    <w:rsid w:val="00693131"/>
    <w:rsid w:val="006A5205"/>
    <w:rsid w:val="006B7F5E"/>
    <w:rsid w:val="006C1F52"/>
    <w:rsid w:val="006C520A"/>
    <w:rsid w:val="006C6680"/>
    <w:rsid w:val="006D6C5C"/>
    <w:rsid w:val="006E10C8"/>
    <w:rsid w:val="006E129A"/>
    <w:rsid w:val="006E1452"/>
    <w:rsid w:val="007063F2"/>
    <w:rsid w:val="007072B7"/>
    <w:rsid w:val="0070789D"/>
    <w:rsid w:val="00710D90"/>
    <w:rsid w:val="00711053"/>
    <w:rsid w:val="00720263"/>
    <w:rsid w:val="0074285D"/>
    <w:rsid w:val="007547B3"/>
    <w:rsid w:val="0075621F"/>
    <w:rsid w:val="007619CF"/>
    <w:rsid w:val="007703A3"/>
    <w:rsid w:val="00776FDD"/>
    <w:rsid w:val="00784C4B"/>
    <w:rsid w:val="007862E7"/>
    <w:rsid w:val="007876B0"/>
    <w:rsid w:val="007B3827"/>
    <w:rsid w:val="007B4233"/>
    <w:rsid w:val="007C0AA9"/>
    <w:rsid w:val="007C7FB5"/>
    <w:rsid w:val="007D52CA"/>
    <w:rsid w:val="007D7C42"/>
    <w:rsid w:val="007E2EAD"/>
    <w:rsid w:val="007E3E5A"/>
    <w:rsid w:val="0080098D"/>
    <w:rsid w:val="008018EA"/>
    <w:rsid w:val="00827415"/>
    <w:rsid w:val="00830162"/>
    <w:rsid w:val="00835C8B"/>
    <w:rsid w:val="00856545"/>
    <w:rsid w:val="00874A8B"/>
    <w:rsid w:val="00874BB1"/>
    <w:rsid w:val="008859D0"/>
    <w:rsid w:val="00887675"/>
    <w:rsid w:val="00894BA3"/>
    <w:rsid w:val="00896C5F"/>
    <w:rsid w:val="008A3120"/>
    <w:rsid w:val="008C20EE"/>
    <w:rsid w:val="008C54D7"/>
    <w:rsid w:val="008D60F7"/>
    <w:rsid w:val="008F4500"/>
    <w:rsid w:val="00902EED"/>
    <w:rsid w:val="00904B32"/>
    <w:rsid w:val="00905714"/>
    <w:rsid w:val="009151EF"/>
    <w:rsid w:val="0091536C"/>
    <w:rsid w:val="009310C0"/>
    <w:rsid w:val="009316FE"/>
    <w:rsid w:val="009412A9"/>
    <w:rsid w:val="00947368"/>
    <w:rsid w:val="009478AD"/>
    <w:rsid w:val="00947E25"/>
    <w:rsid w:val="00951BC0"/>
    <w:rsid w:val="00952FB7"/>
    <w:rsid w:val="009554FA"/>
    <w:rsid w:val="009569EB"/>
    <w:rsid w:val="00957741"/>
    <w:rsid w:val="00962717"/>
    <w:rsid w:val="00964656"/>
    <w:rsid w:val="00966647"/>
    <w:rsid w:val="009A67DC"/>
    <w:rsid w:val="009B141F"/>
    <w:rsid w:val="009B21B2"/>
    <w:rsid w:val="009B76E1"/>
    <w:rsid w:val="009C0741"/>
    <w:rsid w:val="009C2205"/>
    <w:rsid w:val="009C7225"/>
    <w:rsid w:val="009E19D4"/>
    <w:rsid w:val="009E3FB8"/>
    <w:rsid w:val="009F53AE"/>
    <w:rsid w:val="00A115C5"/>
    <w:rsid w:val="00A14034"/>
    <w:rsid w:val="00A307B5"/>
    <w:rsid w:val="00A32365"/>
    <w:rsid w:val="00A617B9"/>
    <w:rsid w:val="00A775E1"/>
    <w:rsid w:val="00A80779"/>
    <w:rsid w:val="00A80827"/>
    <w:rsid w:val="00A91C44"/>
    <w:rsid w:val="00AB5B7C"/>
    <w:rsid w:val="00AC2B74"/>
    <w:rsid w:val="00AD4F5A"/>
    <w:rsid w:val="00AE64BF"/>
    <w:rsid w:val="00AE7B67"/>
    <w:rsid w:val="00AF0B0A"/>
    <w:rsid w:val="00AF36F5"/>
    <w:rsid w:val="00B042CD"/>
    <w:rsid w:val="00B06E0F"/>
    <w:rsid w:val="00B1099F"/>
    <w:rsid w:val="00B13273"/>
    <w:rsid w:val="00B23E83"/>
    <w:rsid w:val="00B24BC7"/>
    <w:rsid w:val="00B26FEC"/>
    <w:rsid w:val="00B332B9"/>
    <w:rsid w:val="00B43953"/>
    <w:rsid w:val="00B46B6D"/>
    <w:rsid w:val="00B52987"/>
    <w:rsid w:val="00B547CF"/>
    <w:rsid w:val="00B548F1"/>
    <w:rsid w:val="00BA2E1C"/>
    <w:rsid w:val="00BB366E"/>
    <w:rsid w:val="00BB6BAC"/>
    <w:rsid w:val="00BC2DF9"/>
    <w:rsid w:val="00BE0C9D"/>
    <w:rsid w:val="00BE6D71"/>
    <w:rsid w:val="00BE70FB"/>
    <w:rsid w:val="00BF6A0B"/>
    <w:rsid w:val="00C01926"/>
    <w:rsid w:val="00C17E07"/>
    <w:rsid w:val="00C32D51"/>
    <w:rsid w:val="00C358B4"/>
    <w:rsid w:val="00C7565F"/>
    <w:rsid w:val="00C80680"/>
    <w:rsid w:val="00C8075F"/>
    <w:rsid w:val="00C80A53"/>
    <w:rsid w:val="00C815A1"/>
    <w:rsid w:val="00C90DF9"/>
    <w:rsid w:val="00C936B2"/>
    <w:rsid w:val="00C939F5"/>
    <w:rsid w:val="00C9587D"/>
    <w:rsid w:val="00CB2F70"/>
    <w:rsid w:val="00CB3933"/>
    <w:rsid w:val="00CC5A10"/>
    <w:rsid w:val="00CD04C2"/>
    <w:rsid w:val="00CE2F7C"/>
    <w:rsid w:val="00CE3E6C"/>
    <w:rsid w:val="00D33984"/>
    <w:rsid w:val="00D40480"/>
    <w:rsid w:val="00D46434"/>
    <w:rsid w:val="00D5068A"/>
    <w:rsid w:val="00D62C0F"/>
    <w:rsid w:val="00D63298"/>
    <w:rsid w:val="00D835DE"/>
    <w:rsid w:val="00D8475A"/>
    <w:rsid w:val="00D908E2"/>
    <w:rsid w:val="00DB1630"/>
    <w:rsid w:val="00DB71F7"/>
    <w:rsid w:val="00DC5130"/>
    <w:rsid w:val="00DD779D"/>
    <w:rsid w:val="00DE597F"/>
    <w:rsid w:val="00DE5EBB"/>
    <w:rsid w:val="00DF093E"/>
    <w:rsid w:val="00E24826"/>
    <w:rsid w:val="00E36181"/>
    <w:rsid w:val="00E37490"/>
    <w:rsid w:val="00E42161"/>
    <w:rsid w:val="00E45D6B"/>
    <w:rsid w:val="00E5345B"/>
    <w:rsid w:val="00E54143"/>
    <w:rsid w:val="00E669BD"/>
    <w:rsid w:val="00E84140"/>
    <w:rsid w:val="00E867C8"/>
    <w:rsid w:val="00E92B51"/>
    <w:rsid w:val="00EB5157"/>
    <w:rsid w:val="00EB6F85"/>
    <w:rsid w:val="00EB71C8"/>
    <w:rsid w:val="00EC293F"/>
    <w:rsid w:val="00EC384B"/>
    <w:rsid w:val="00EE66E9"/>
    <w:rsid w:val="00F12C81"/>
    <w:rsid w:val="00F2034E"/>
    <w:rsid w:val="00F20DC3"/>
    <w:rsid w:val="00F330D5"/>
    <w:rsid w:val="00F3529E"/>
    <w:rsid w:val="00F43E9A"/>
    <w:rsid w:val="00F54BBC"/>
    <w:rsid w:val="00F6602F"/>
    <w:rsid w:val="00F753A8"/>
    <w:rsid w:val="00F832AB"/>
    <w:rsid w:val="00F859C8"/>
    <w:rsid w:val="00F916D1"/>
    <w:rsid w:val="00FB69F7"/>
    <w:rsid w:val="00FD561B"/>
    <w:rsid w:val="00FD6A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B3943"/>
  <w15:chartTrackingRefBased/>
  <w15:docId w15:val="{41285467-8F4C-8747-8D2B-8FC5C736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1A0CFB"/>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1A0CF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1A0CFB"/>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A0CFB"/>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1A0CFB"/>
    <w:rPr>
      <w:rFonts w:ascii="Times New Roman" w:eastAsia="Times New Roman" w:hAnsi="Times New Roman" w:cs="Times New Roman"/>
      <w:b/>
      <w:bCs/>
      <w:kern w:val="36"/>
      <w:sz w:val="48"/>
      <w:szCs w:val="48"/>
      <w:lang w:eastAsia="fr-FR"/>
    </w:rPr>
  </w:style>
  <w:style w:type="character" w:customStyle="1" w:styleId="container-jponetna">
    <w:name w:val="container-jponetna"/>
    <w:basedOn w:val="Policepardfaut"/>
    <w:rsid w:val="001A0CFB"/>
  </w:style>
  <w:style w:type="character" w:customStyle="1" w:styleId="description-cbhfn2p">
    <w:name w:val="description-cbh_fn2p"/>
    <w:basedOn w:val="Policepardfaut"/>
    <w:rsid w:val="001A0CFB"/>
  </w:style>
  <w:style w:type="character" w:customStyle="1" w:styleId="positivepercent-cbhfn2p">
    <w:name w:val="positivepercent-cbh_fn2p"/>
    <w:basedOn w:val="Policepardfaut"/>
    <w:rsid w:val="001A0CFB"/>
  </w:style>
  <w:style w:type="character" w:customStyle="1" w:styleId="text-ekxxv5y5">
    <w:name w:val="text-ekxxv5y5"/>
    <w:basedOn w:val="Policepardfaut"/>
    <w:rsid w:val="001A0CFB"/>
  </w:style>
  <w:style w:type="character" w:customStyle="1" w:styleId="Titre2Car">
    <w:name w:val="Titre 2 Car"/>
    <w:basedOn w:val="Policepardfaut"/>
    <w:link w:val="Titre2"/>
    <w:uiPriority w:val="9"/>
    <w:semiHidden/>
    <w:rsid w:val="001A0CFB"/>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1A0CFB"/>
    <w:rPr>
      <w:rFonts w:asciiTheme="majorHAnsi" w:eastAsiaTheme="majorEastAsia" w:hAnsiTheme="majorHAnsi" w:cstheme="majorBidi"/>
      <w:color w:val="1F3763" w:themeColor="accent1" w:themeShade="7F"/>
    </w:rPr>
  </w:style>
  <w:style w:type="paragraph" w:customStyle="1" w:styleId="article-subtitle">
    <w:name w:val="article-subtitle"/>
    <w:basedOn w:val="Normal"/>
    <w:rsid w:val="001A0CFB"/>
    <w:pPr>
      <w:spacing w:before="100" w:beforeAutospacing="1" w:after="100" w:afterAutospacing="1"/>
    </w:pPr>
    <w:rPr>
      <w:rFonts w:ascii="Times New Roman" w:eastAsia="Times New Roman" w:hAnsi="Times New Roman" w:cs="Times New Roman"/>
      <w:lang w:eastAsia="fr-FR"/>
    </w:rPr>
  </w:style>
  <w:style w:type="character" w:customStyle="1" w:styleId="entry-date">
    <w:name w:val="entry-date"/>
    <w:basedOn w:val="Policepardfaut"/>
    <w:rsid w:val="001A0CFB"/>
  </w:style>
  <w:style w:type="character" w:customStyle="1" w:styleId="meta-prep">
    <w:name w:val="meta-prep"/>
    <w:basedOn w:val="Policepardfaut"/>
    <w:rsid w:val="001A0CFB"/>
  </w:style>
  <w:style w:type="character" w:customStyle="1" w:styleId="author">
    <w:name w:val="author"/>
    <w:basedOn w:val="Policepardfaut"/>
    <w:rsid w:val="001A0CFB"/>
  </w:style>
  <w:style w:type="character" w:styleId="Lienhypertexte">
    <w:name w:val="Hyperlink"/>
    <w:basedOn w:val="Policepardfaut"/>
    <w:uiPriority w:val="99"/>
    <w:unhideWhenUsed/>
    <w:rsid w:val="001A0CFB"/>
    <w:rPr>
      <w:color w:val="0000FF"/>
      <w:u w:val="single"/>
    </w:rPr>
  </w:style>
  <w:style w:type="character" w:styleId="lev">
    <w:name w:val="Strong"/>
    <w:basedOn w:val="Policepardfaut"/>
    <w:uiPriority w:val="22"/>
    <w:qFormat/>
    <w:rsid w:val="001A0CFB"/>
    <w:rPr>
      <w:b/>
      <w:bCs/>
    </w:rPr>
  </w:style>
  <w:style w:type="character" w:customStyle="1" w:styleId="stock-ticker">
    <w:name w:val="stock-ticker"/>
    <w:basedOn w:val="Policepardfaut"/>
    <w:rsid w:val="001A0CFB"/>
  </w:style>
  <w:style w:type="paragraph" w:customStyle="1" w:styleId="source">
    <w:name w:val="source"/>
    <w:basedOn w:val="Normal"/>
    <w:rsid w:val="001A0CFB"/>
    <w:pPr>
      <w:spacing w:before="100" w:beforeAutospacing="1" w:after="100" w:afterAutospacing="1"/>
    </w:pPr>
    <w:rPr>
      <w:rFonts w:ascii="Times New Roman" w:eastAsia="Times New Roman" w:hAnsi="Times New Roman" w:cs="Times New Roman"/>
      <w:lang w:eastAsia="fr-FR"/>
    </w:rPr>
  </w:style>
  <w:style w:type="paragraph" w:customStyle="1" w:styleId="mt-below-article">
    <w:name w:val="mt-below-article"/>
    <w:basedOn w:val="Normal"/>
    <w:rsid w:val="001A0CFB"/>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1A0CFB"/>
    <w:rPr>
      <w:i/>
      <w:iCs/>
    </w:rPr>
  </w:style>
  <w:style w:type="character" w:styleId="Textedelespacerserv">
    <w:name w:val="Placeholder Text"/>
    <w:basedOn w:val="Policepardfaut"/>
    <w:uiPriority w:val="99"/>
    <w:semiHidden/>
    <w:rsid w:val="00F20DC3"/>
    <w:rPr>
      <w:color w:val="666666"/>
    </w:rPr>
  </w:style>
  <w:style w:type="paragraph" w:styleId="Paragraphedeliste">
    <w:name w:val="List Paragraph"/>
    <w:basedOn w:val="Normal"/>
    <w:uiPriority w:val="34"/>
    <w:qFormat/>
    <w:rsid w:val="002D0FC1"/>
    <w:pPr>
      <w:ind w:left="720"/>
      <w:contextualSpacing/>
    </w:pPr>
  </w:style>
  <w:style w:type="character" w:styleId="Marquedecommentaire">
    <w:name w:val="annotation reference"/>
    <w:basedOn w:val="Policepardfaut"/>
    <w:uiPriority w:val="99"/>
    <w:semiHidden/>
    <w:unhideWhenUsed/>
    <w:rsid w:val="00C8075F"/>
    <w:rPr>
      <w:sz w:val="16"/>
      <w:szCs w:val="16"/>
    </w:rPr>
  </w:style>
  <w:style w:type="paragraph" w:styleId="Commentaire">
    <w:name w:val="annotation text"/>
    <w:basedOn w:val="Normal"/>
    <w:link w:val="CommentaireCar"/>
    <w:uiPriority w:val="99"/>
    <w:unhideWhenUsed/>
    <w:rsid w:val="00C8075F"/>
    <w:rPr>
      <w:sz w:val="20"/>
      <w:szCs w:val="20"/>
    </w:rPr>
  </w:style>
  <w:style w:type="character" w:customStyle="1" w:styleId="CommentaireCar">
    <w:name w:val="Commentaire Car"/>
    <w:basedOn w:val="Policepardfaut"/>
    <w:link w:val="Commentaire"/>
    <w:uiPriority w:val="99"/>
    <w:rsid w:val="00C8075F"/>
    <w:rPr>
      <w:sz w:val="20"/>
      <w:szCs w:val="20"/>
    </w:rPr>
  </w:style>
  <w:style w:type="paragraph" w:styleId="Objetducommentaire">
    <w:name w:val="annotation subject"/>
    <w:basedOn w:val="Commentaire"/>
    <w:next w:val="Commentaire"/>
    <w:link w:val="ObjetducommentaireCar"/>
    <w:uiPriority w:val="99"/>
    <w:semiHidden/>
    <w:unhideWhenUsed/>
    <w:rsid w:val="00C8075F"/>
    <w:rPr>
      <w:b/>
      <w:bCs/>
    </w:rPr>
  </w:style>
  <w:style w:type="character" w:customStyle="1" w:styleId="ObjetducommentaireCar">
    <w:name w:val="Objet du commentaire Car"/>
    <w:basedOn w:val="CommentaireCar"/>
    <w:link w:val="Objetducommentaire"/>
    <w:uiPriority w:val="99"/>
    <w:semiHidden/>
    <w:rsid w:val="00C8075F"/>
    <w:rPr>
      <w:b/>
      <w:bCs/>
      <w:sz w:val="20"/>
      <w:szCs w:val="20"/>
    </w:rPr>
  </w:style>
  <w:style w:type="paragraph" w:styleId="Rvision">
    <w:name w:val="Revision"/>
    <w:hidden/>
    <w:uiPriority w:val="99"/>
    <w:semiHidden/>
    <w:rsid w:val="0080098D"/>
  </w:style>
  <w:style w:type="character" w:styleId="Mentionnonrsolue">
    <w:name w:val="Unresolved Mention"/>
    <w:basedOn w:val="Policepardfaut"/>
    <w:uiPriority w:val="99"/>
    <w:semiHidden/>
    <w:unhideWhenUsed/>
    <w:rsid w:val="0023427F"/>
    <w:rPr>
      <w:color w:val="605E5C"/>
      <w:shd w:val="clear" w:color="auto" w:fill="E1DFDD"/>
    </w:rPr>
  </w:style>
  <w:style w:type="character" w:styleId="Lienhypertextesuivivisit">
    <w:name w:val="FollowedHyperlink"/>
    <w:basedOn w:val="Policepardfaut"/>
    <w:uiPriority w:val="99"/>
    <w:semiHidden/>
    <w:unhideWhenUsed/>
    <w:rsid w:val="005C0C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947">
      <w:bodyDiv w:val="1"/>
      <w:marLeft w:val="0"/>
      <w:marRight w:val="0"/>
      <w:marTop w:val="0"/>
      <w:marBottom w:val="0"/>
      <w:divBdr>
        <w:top w:val="none" w:sz="0" w:space="0" w:color="auto"/>
        <w:left w:val="none" w:sz="0" w:space="0" w:color="auto"/>
        <w:bottom w:val="none" w:sz="0" w:space="0" w:color="auto"/>
        <w:right w:val="none" w:sz="0" w:space="0" w:color="auto"/>
      </w:divBdr>
    </w:div>
    <w:div w:id="352462154">
      <w:bodyDiv w:val="1"/>
      <w:marLeft w:val="0"/>
      <w:marRight w:val="0"/>
      <w:marTop w:val="0"/>
      <w:marBottom w:val="0"/>
      <w:divBdr>
        <w:top w:val="none" w:sz="0" w:space="0" w:color="auto"/>
        <w:left w:val="none" w:sz="0" w:space="0" w:color="auto"/>
        <w:bottom w:val="none" w:sz="0" w:space="0" w:color="auto"/>
        <w:right w:val="none" w:sz="0" w:space="0" w:color="auto"/>
      </w:divBdr>
      <w:divsChild>
        <w:div w:id="1614634686">
          <w:marLeft w:val="0"/>
          <w:marRight w:val="0"/>
          <w:marTop w:val="0"/>
          <w:marBottom w:val="0"/>
          <w:divBdr>
            <w:top w:val="none" w:sz="0" w:space="0" w:color="auto"/>
            <w:left w:val="none" w:sz="0" w:space="0" w:color="auto"/>
            <w:bottom w:val="none" w:sz="0" w:space="0" w:color="auto"/>
            <w:right w:val="none" w:sz="0" w:space="0" w:color="auto"/>
          </w:divBdr>
        </w:div>
        <w:div w:id="1272974336">
          <w:marLeft w:val="0"/>
          <w:marRight w:val="0"/>
          <w:marTop w:val="0"/>
          <w:marBottom w:val="0"/>
          <w:divBdr>
            <w:top w:val="none" w:sz="0" w:space="0" w:color="auto"/>
            <w:left w:val="none" w:sz="0" w:space="0" w:color="auto"/>
            <w:bottom w:val="none" w:sz="0" w:space="0" w:color="auto"/>
            <w:right w:val="none" w:sz="0" w:space="0" w:color="auto"/>
          </w:divBdr>
        </w:div>
        <w:div w:id="763838099">
          <w:marLeft w:val="0"/>
          <w:marRight w:val="0"/>
          <w:marTop w:val="0"/>
          <w:marBottom w:val="0"/>
          <w:divBdr>
            <w:top w:val="none" w:sz="0" w:space="0" w:color="auto"/>
            <w:left w:val="none" w:sz="0" w:space="0" w:color="auto"/>
            <w:bottom w:val="none" w:sz="0" w:space="0" w:color="auto"/>
            <w:right w:val="none" w:sz="0" w:space="0" w:color="auto"/>
          </w:divBdr>
          <w:divsChild>
            <w:div w:id="422797787">
              <w:marLeft w:val="0"/>
              <w:marRight w:val="0"/>
              <w:marTop w:val="0"/>
              <w:marBottom w:val="0"/>
              <w:divBdr>
                <w:top w:val="none" w:sz="0" w:space="0" w:color="auto"/>
                <w:left w:val="none" w:sz="0" w:space="0" w:color="auto"/>
                <w:bottom w:val="none" w:sz="0" w:space="0" w:color="auto"/>
                <w:right w:val="none" w:sz="0" w:space="0" w:color="auto"/>
              </w:divBdr>
              <w:divsChild>
                <w:div w:id="1587156233">
                  <w:marLeft w:val="0"/>
                  <w:marRight w:val="0"/>
                  <w:marTop w:val="0"/>
                  <w:marBottom w:val="0"/>
                  <w:divBdr>
                    <w:top w:val="none" w:sz="0" w:space="0" w:color="auto"/>
                    <w:left w:val="none" w:sz="0" w:space="0" w:color="auto"/>
                    <w:bottom w:val="none" w:sz="0" w:space="0" w:color="auto"/>
                    <w:right w:val="none" w:sz="0" w:space="0" w:color="auto"/>
                  </w:divBdr>
                  <w:divsChild>
                    <w:div w:id="169908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500247">
      <w:bodyDiv w:val="1"/>
      <w:marLeft w:val="0"/>
      <w:marRight w:val="0"/>
      <w:marTop w:val="0"/>
      <w:marBottom w:val="0"/>
      <w:divBdr>
        <w:top w:val="none" w:sz="0" w:space="0" w:color="auto"/>
        <w:left w:val="none" w:sz="0" w:space="0" w:color="auto"/>
        <w:bottom w:val="none" w:sz="0" w:space="0" w:color="auto"/>
        <w:right w:val="none" w:sz="0" w:space="0" w:color="auto"/>
      </w:divBdr>
    </w:div>
    <w:div w:id="1055662836">
      <w:bodyDiv w:val="1"/>
      <w:marLeft w:val="0"/>
      <w:marRight w:val="0"/>
      <w:marTop w:val="0"/>
      <w:marBottom w:val="0"/>
      <w:divBdr>
        <w:top w:val="none" w:sz="0" w:space="0" w:color="auto"/>
        <w:left w:val="none" w:sz="0" w:space="0" w:color="auto"/>
        <w:bottom w:val="none" w:sz="0" w:space="0" w:color="auto"/>
        <w:right w:val="none" w:sz="0" w:space="0" w:color="auto"/>
      </w:divBdr>
      <w:divsChild>
        <w:div w:id="80378723">
          <w:marLeft w:val="0"/>
          <w:marRight w:val="0"/>
          <w:marTop w:val="360"/>
          <w:marBottom w:val="0"/>
          <w:divBdr>
            <w:top w:val="none" w:sz="0" w:space="0" w:color="auto"/>
            <w:left w:val="none" w:sz="0" w:space="0" w:color="auto"/>
            <w:bottom w:val="none" w:sz="0" w:space="0" w:color="auto"/>
            <w:right w:val="none" w:sz="0" w:space="0" w:color="auto"/>
          </w:divBdr>
        </w:div>
        <w:div w:id="1016663121">
          <w:marLeft w:val="0"/>
          <w:marRight w:val="0"/>
          <w:marTop w:val="420"/>
          <w:marBottom w:val="0"/>
          <w:divBdr>
            <w:top w:val="none" w:sz="0" w:space="0" w:color="auto"/>
            <w:left w:val="none" w:sz="0" w:space="0" w:color="auto"/>
            <w:bottom w:val="none" w:sz="0" w:space="0" w:color="auto"/>
            <w:right w:val="none" w:sz="0" w:space="0" w:color="auto"/>
          </w:divBdr>
        </w:div>
        <w:div w:id="41945210">
          <w:marLeft w:val="0"/>
          <w:marRight w:val="0"/>
          <w:marTop w:val="720"/>
          <w:marBottom w:val="0"/>
          <w:divBdr>
            <w:top w:val="none" w:sz="0" w:space="0" w:color="auto"/>
            <w:left w:val="none" w:sz="0" w:space="0" w:color="auto"/>
            <w:bottom w:val="none" w:sz="0" w:space="0" w:color="auto"/>
            <w:right w:val="none" w:sz="0" w:space="0" w:color="auto"/>
          </w:divBdr>
        </w:div>
      </w:divsChild>
    </w:div>
    <w:div w:id="1114522098">
      <w:bodyDiv w:val="1"/>
      <w:marLeft w:val="0"/>
      <w:marRight w:val="0"/>
      <w:marTop w:val="0"/>
      <w:marBottom w:val="0"/>
      <w:divBdr>
        <w:top w:val="none" w:sz="0" w:space="0" w:color="auto"/>
        <w:left w:val="none" w:sz="0" w:space="0" w:color="auto"/>
        <w:bottom w:val="none" w:sz="0" w:space="0" w:color="auto"/>
        <w:right w:val="none" w:sz="0" w:space="0" w:color="auto"/>
      </w:divBdr>
    </w:div>
    <w:div w:id="1405494435">
      <w:bodyDiv w:val="1"/>
      <w:marLeft w:val="0"/>
      <w:marRight w:val="0"/>
      <w:marTop w:val="0"/>
      <w:marBottom w:val="0"/>
      <w:divBdr>
        <w:top w:val="none" w:sz="0" w:space="0" w:color="auto"/>
        <w:left w:val="none" w:sz="0" w:space="0" w:color="auto"/>
        <w:bottom w:val="none" w:sz="0" w:space="0" w:color="auto"/>
        <w:right w:val="none" w:sz="0" w:space="0" w:color="auto"/>
      </w:divBdr>
    </w:div>
    <w:div w:id="1648435335">
      <w:bodyDiv w:val="1"/>
      <w:marLeft w:val="0"/>
      <w:marRight w:val="0"/>
      <w:marTop w:val="0"/>
      <w:marBottom w:val="0"/>
      <w:divBdr>
        <w:top w:val="none" w:sz="0" w:space="0" w:color="auto"/>
        <w:left w:val="none" w:sz="0" w:space="0" w:color="auto"/>
        <w:bottom w:val="none" w:sz="0" w:space="0" w:color="auto"/>
        <w:right w:val="none" w:sz="0" w:space="0" w:color="auto"/>
      </w:divBdr>
      <w:divsChild>
        <w:div w:id="1389766838">
          <w:marLeft w:val="0"/>
          <w:marRight w:val="0"/>
          <w:marTop w:val="0"/>
          <w:marBottom w:val="0"/>
          <w:divBdr>
            <w:top w:val="none" w:sz="0" w:space="0" w:color="auto"/>
            <w:left w:val="none" w:sz="0" w:space="0" w:color="auto"/>
            <w:bottom w:val="none" w:sz="0" w:space="0" w:color="auto"/>
            <w:right w:val="none" w:sz="0" w:space="0" w:color="auto"/>
          </w:divBdr>
          <w:divsChild>
            <w:div w:id="1530222660">
              <w:marLeft w:val="0"/>
              <w:marRight w:val="0"/>
              <w:marTop w:val="0"/>
              <w:marBottom w:val="0"/>
              <w:divBdr>
                <w:top w:val="none" w:sz="0" w:space="0" w:color="auto"/>
                <w:left w:val="none" w:sz="0" w:space="0" w:color="auto"/>
                <w:bottom w:val="none" w:sz="0" w:space="0" w:color="auto"/>
                <w:right w:val="none" w:sz="0" w:space="0" w:color="auto"/>
              </w:divBdr>
            </w:div>
          </w:divsChild>
        </w:div>
        <w:div w:id="858474090">
          <w:marLeft w:val="0"/>
          <w:marRight w:val="0"/>
          <w:marTop w:val="0"/>
          <w:marBottom w:val="0"/>
          <w:divBdr>
            <w:top w:val="none" w:sz="0" w:space="0" w:color="auto"/>
            <w:left w:val="none" w:sz="0" w:space="0" w:color="auto"/>
            <w:bottom w:val="none" w:sz="0" w:space="0" w:color="auto"/>
            <w:right w:val="none" w:sz="0" w:space="0" w:color="auto"/>
          </w:divBdr>
        </w:div>
        <w:div w:id="2133398754">
          <w:marLeft w:val="0"/>
          <w:marRight w:val="0"/>
          <w:marTop w:val="0"/>
          <w:marBottom w:val="0"/>
          <w:divBdr>
            <w:top w:val="none" w:sz="0" w:space="0" w:color="auto"/>
            <w:left w:val="none" w:sz="0" w:space="0" w:color="auto"/>
            <w:bottom w:val="none" w:sz="0" w:space="0" w:color="auto"/>
            <w:right w:val="none" w:sz="0" w:space="0" w:color="auto"/>
          </w:divBdr>
        </w:div>
        <w:div w:id="1824738866">
          <w:marLeft w:val="0"/>
          <w:marRight w:val="0"/>
          <w:marTop w:val="0"/>
          <w:marBottom w:val="0"/>
          <w:divBdr>
            <w:top w:val="none" w:sz="0" w:space="0" w:color="auto"/>
            <w:left w:val="none" w:sz="0" w:space="0" w:color="auto"/>
            <w:bottom w:val="none" w:sz="0" w:space="0" w:color="auto"/>
            <w:right w:val="none" w:sz="0" w:space="0" w:color="auto"/>
          </w:divBdr>
          <w:divsChild>
            <w:div w:id="508954080">
              <w:marLeft w:val="0"/>
              <w:marRight w:val="0"/>
              <w:marTop w:val="150"/>
              <w:marBottom w:val="300"/>
              <w:divBdr>
                <w:top w:val="none" w:sz="0" w:space="0" w:color="auto"/>
                <w:left w:val="none" w:sz="0" w:space="0" w:color="auto"/>
                <w:bottom w:val="none" w:sz="0" w:space="0" w:color="auto"/>
                <w:right w:val="none" w:sz="0" w:space="0" w:color="auto"/>
              </w:divBdr>
            </w:div>
            <w:div w:id="1712925292">
              <w:marLeft w:val="0"/>
              <w:marRight w:val="0"/>
              <w:marTop w:val="0"/>
              <w:marBottom w:val="0"/>
              <w:divBdr>
                <w:top w:val="none" w:sz="0" w:space="0" w:color="auto"/>
                <w:left w:val="none" w:sz="0" w:space="0" w:color="auto"/>
                <w:bottom w:val="none" w:sz="0" w:space="0" w:color="auto"/>
                <w:right w:val="none" w:sz="0" w:space="0" w:color="auto"/>
              </w:divBdr>
              <w:divsChild>
                <w:div w:id="1952666953">
                  <w:marLeft w:val="0"/>
                  <w:marRight w:val="0"/>
                  <w:marTop w:val="0"/>
                  <w:marBottom w:val="0"/>
                  <w:divBdr>
                    <w:top w:val="none" w:sz="0" w:space="0" w:color="auto"/>
                    <w:left w:val="none" w:sz="0" w:space="0" w:color="auto"/>
                    <w:bottom w:val="none" w:sz="0" w:space="0" w:color="auto"/>
                    <w:right w:val="none" w:sz="0" w:space="0" w:color="auto"/>
                  </w:divBdr>
                  <w:divsChild>
                    <w:div w:id="20907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319442">
              <w:marLeft w:val="0"/>
              <w:marRight w:val="0"/>
              <w:marTop w:val="150"/>
              <w:marBottom w:val="300"/>
              <w:divBdr>
                <w:top w:val="none" w:sz="0" w:space="0" w:color="auto"/>
                <w:left w:val="none" w:sz="0" w:space="0" w:color="auto"/>
                <w:bottom w:val="none" w:sz="0" w:space="0" w:color="auto"/>
                <w:right w:val="none" w:sz="0" w:space="0" w:color="auto"/>
              </w:divBdr>
            </w:div>
            <w:div w:id="80801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6BC63-DFBE-F24B-B5B0-16F64C9B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7</Pages>
  <Words>1513</Words>
  <Characters>8325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253</cp:revision>
  <dcterms:created xsi:type="dcterms:W3CDTF">2024-08-01T12:54:00Z</dcterms:created>
  <dcterms:modified xsi:type="dcterms:W3CDTF">2024-10-09T20:57:00Z</dcterms:modified>
</cp:coreProperties>
</file>